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1695"/>
          <w:tab w:val="left" w:pos="3370"/>
          <w:tab w:val="left" w:pos="5555"/>
        </w:tabs>
        <w:kinsoku/>
        <w:overflowPunct/>
        <w:topLinePunct w:val="0"/>
        <w:autoSpaceDE w:val="0"/>
        <w:autoSpaceDN w:val="0"/>
        <w:bidi w:val="0"/>
        <w:adjustRightInd w:val="0"/>
        <w:snapToGrid w:val="0"/>
        <w:spacing w:line="540" w:lineRule="exact"/>
        <w:jc w:val="left"/>
        <w:textAlignment w:val="auto"/>
        <w:rPr>
          <w:rFonts w:ascii="方正仿宋_GBK" w:hAnsi="方正仿宋_GBK" w:eastAsia="方正仿宋_GBK" w:cs="方正仿宋_GBK"/>
          <w:b/>
          <w:bCs/>
          <w:w w:val="99"/>
          <w:kern w:val="0"/>
          <w:sz w:val="28"/>
          <w:szCs w:val="28"/>
        </w:rPr>
      </w:pPr>
    </w:p>
    <w:p>
      <w:pPr>
        <w:pageBreakBefore w:val="0"/>
        <w:tabs>
          <w:tab w:val="left" w:pos="1695"/>
          <w:tab w:val="left" w:pos="3370"/>
          <w:tab w:val="left" w:pos="5555"/>
        </w:tabs>
        <w:kinsoku/>
        <w:overflowPunct/>
        <w:topLinePunct w:val="0"/>
        <w:autoSpaceDE w:val="0"/>
        <w:autoSpaceDN w:val="0"/>
        <w:bidi w:val="0"/>
        <w:adjustRightInd w:val="0"/>
        <w:snapToGrid w:val="0"/>
        <w:spacing w:line="540" w:lineRule="exact"/>
        <w:jc w:val="left"/>
        <w:textAlignment w:val="auto"/>
        <w:rPr>
          <w:rFonts w:hint="eastAsia" w:ascii="宋体" w:hAnsi="宋体" w:eastAsia="宋体" w:cs="宋体"/>
          <w:b/>
          <w:bCs/>
          <w:w w:val="99"/>
          <w:kern w:val="0"/>
          <w:sz w:val="28"/>
          <w:szCs w:val="28"/>
        </w:rPr>
      </w:pPr>
    </w:p>
    <w:p>
      <w:pPr>
        <w:pageBreakBefore w:val="0"/>
        <w:tabs>
          <w:tab w:val="left" w:pos="1695"/>
          <w:tab w:val="left" w:pos="3370"/>
          <w:tab w:val="left" w:pos="5555"/>
        </w:tabs>
        <w:kinsoku/>
        <w:overflowPunct/>
        <w:topLinePunct w:val="0"/>
        <w:autoSpaceDE w:val="0"/>
        <w:autoSpaceDN w:val="0"/>
        <w:bidi w:val="0"/>
        <w:adjustRightInd w:val="0"/>
        <w:snapToGrid w:val="0"/>
        <w:spacing w:line="540" w:lineRule="exact"/>
        <w:jc w:val="left"/>
        <w:textAlignment w:val="auto"/>
        <w:rPr>
          <w:rFonts w:hint="eastAsia" w:ascii="宋体" w:hAnsi="宋体" w:eastAsia="宋体" w:cs="宋体"/>
          <w:b/>
          <w:bCs/>
          <w:w w:val="99"/>
          <w:kern w:val="0"/>
          <w:sz w:val="28"/>
          <w:szCs w:val="28"/>
        </w:rPr>
      </w:pPr>
    </w:p>
    <w:p>
      <w:pPr>
        <w:pageBreakBefore w:val="0"/>
        <w:tabs>
          <w:tab w:val="left" w:pos="1695"/>
          <w:tab w:val="left" w:pos="3370"/>
          <w:tab w:val="left" w:pos="5555"/>
        </w:tabs>
        <w:kinsoku/>
        <w:overflowPunct/>
        <w:topLinePunct w:val="0"/>
        <w:autoSpaceDE w:val="0"/>
        <w:autoSpaceDN w:val="0"/>
        <w:bidi w:val="0"/>
        <w:adjustRightInd w:val="0"/>
        <w:snapToGrid w:val="0"/>
        <w:spacing w:line="540" w:lineRule="exact"/>
        <w:jc w:val="left"/>
        <w:textAlignment w:val="auto"/>
        <w:rPr>
          <w:rFonts w:hint="eastAsia" w:ascii="宋体" w:hAnsi="宋体" w:eastAsia="宋体" w:cs="宋体"/>
          <w:b/>
          <w:bCs/>
          <w:w w:val="99"/>
          <w:kern w:val="0"/>
          <w:sz w:val="28"/>
          <w:szCs w:val="28"/>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bCs/>
          <w:w w:val="99"/>
          <w:kern w:val="0"/>
          <w:sz w:val="44"/>
          <w:szCs w:val="44"/>
          <w:lang w:val="en-US" w:eastAsia="zh-CN"/>
        </w:rPr>
      </w:pPr>
      <w:r>
        <w:rPr>
          <w:rFonts w:hint="eastAsia" w:ascii="宋体" w:hAnsi="宋体" w:eastAsia="宋体" w:cs="宋体"/>
          <w:b/>
          <w:bCs/>
          <w:w w:val="99"/>
          <w:kern w:val="0"/>
          <w:sz w:val="44"/>
          <w:szCs w:val="44"/>
          <w:lang w:val="en-US" w:eastAsia="zh-CN"/>
        </w:rPr>
        <w:t>重庆市</w:t>
      </w:r>
      <w:r>
        <w:rPr>
          <w:rFonts w:hint="eastAsia" w:ascii="宋体" w:hAnsi="宋体" w:cs="宋体"/>
          <w:b/>
          <w:bCs/>
          <w:w w:val="99"/>
          <w:kern w:val="0"/>
          <w:sz w:val="44"/>
          <w:szCs w:val="44"/>
          <w:lang w:val="en-US" w:eastAsia="zh-CN"/>
        </w:rPr>
        <w:t>万州高级技工学校</w:t>
      </w:r>
      <w:r>
        <w:rPr>
          <w:rFonts w:hint="eastAsia" w:ascii="宋体" w:hAnsi="宋体" w:eastAsia="宋体" w:cs="宋体"/>
          <w:b/>
          <w:bCs/>
          <w:w w:val="99"/>
          <w:kern w:val="0"/>
          <w:sz w:val="44"/>
          <w:szCs w:val="44"/>
          <w:lang w:val="en-US" w:eastAsia="zh-CN"/>
        </w:rPr>
        <w:t>校企合作比选公告</w:t>
      </w: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val="0"/>
          <w:bCs w:val="0"/>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center"/>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both"/>
        <w:textAlignment w:val="auto"/>
        <w:rPr>
          <w:rFonts w:hint="eastAsia" w:ascii="宋体" w:hAnsi="宋体" w:eastAsia="宋体" w:cs="宋体"/>
          <w:b/>
          <w:sz w:val="28"/>
          <w:szCs w:val="28"/>
        </w:rPr>
      </w:pPr>
    </w:p>
    <w:p>
      <w:pPr>
        <w:keepNext w:val="0"/>
        <w:keepLines w:val="0"/>
        <w:pageBreakBefore w:val="0"/>
        <w:widowControl w:val="0"/>
        <w:kinsoku/>
        <w:wordWrap/>
        <w:overflowPunct/>
        <w:topLinePunct w:val="0"/>
        <w:bidi w:val="0"/>
        <w:spacing w:line="240" w:lineRule="auto"/>
        <w:jc w:val="both"/>
        <w:textAlignment w:val="auto"/>
        <w:rPr>
          <w:rFonts w:hint="eastAsia" w:ascii="宋体" w:hAnsi="宋体" w:eastAsia="宋体" w:cs="宋体"/>
          <w:b/>
          <w:sz w:val="28"/>
          <w:szCs w:val="28"/>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val="0"/>
          <w:bCs w:val="0"/>
          <w:w w:val="99"/>
          <w:kern w:val="0"/>
          <w:sz w:val="48"/>
          <w:szCs w:val="4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val="0"/>
          <w:bCs w:val="0"/>
          <w:w w:val="99"/>
          <w:kern w:val="0"/>
          <w:sz w:val="32"/>
          <w:szCs w:val="32"/>
          <w:lang w:val="en-US" w:eastAsia="zh-CN"/>
        </w:rPr>
      </w:pPr>
      <w:r>
        <w:rPr>
          <w:rFonts w:hint="eastAsia" w:ascii="宋体" w:hAnsi="宋体" w:eastAsia="宋体" w:cs="宋体"/>
          <w:b w:val="0"/>
          <w:bCs w:val="0"/>
          <w:w w:val="99"/>
          <w:kern w:val="0"/>
          <w:sz w:val="32"/>
          <w:szCs w:val="32"/>
          <w:lang w:val="en-US" w:eastAsia="zh-CN"/>
        </w:rPr>
        <w:t xml:space="preserve">      比选考核人：重庆市</w:t>
      </w:r>
      <w:r>
        <w:rPr>
          <w:rFonts w:hint="eastAsia" w:ascii="宋体" w:hAnsi="宋体" w:cs="宋体"/>
          <w:b w:val="0"/>
          <w:bCs w:val="0"/>
          <w:w w:val="99"/>
          <w:kern w:val="0"/>
          <w:sz w:val="32"/>
          <w:szCs w:val="32"/>
          <w:lang w:val="en-US" w:eastAsia="zh-CN"/>
        </w:rPr>
        <w:t>万州高级技工学校</w:t>
      </w:r>
      <w:r>
        <w:rPr>
          <w:rFonts w:hint="eastAsia" w:ascii="宋体" w:hAnsi="宋体" w:eastAsia="宋体" w:cs="宋体"/>
          <w:b w:val="0"/>
          <w:bCs w:val="0"/>
          <w:w w:val="99"/>
          <w:kern w:val="0"/>
          <w:sz w:val="32"/>
          <w:szCs w:val="32"/>
          <w:lang w:val="en-US" w:eastAsia="zh-CN"/>
        </w:rPr>
        <w:t>（盖单位章）</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val="0"/>
          <w:bCs w:val="0"/>
          <w:w w:val="99"/>
          <w:kern w:val="0"/>
          <w:sz w:val="32"/>
          <w:szCs w:val="32"/>
          <w:lang w:val="en-US" w:eastAsia="zh-CN"/>
        </w:rPr>
      </w:pPr>
      <w:r>
        <w:rPr>
          <w:rFonts w:hint="eastAsia" w:ascii="宋体" w:hAnsi="宋体" w:eastAsia="宋体" w:cs="宋体"/>
          <w:b w:val="0"/>
          <w:bCs w:val="0"/>
          <w:w w:val="99"/>
          <w:kern w:val="0"/>
          <w:sz w:val="32"/>
          <w:szCs w:val="32"/>
          <w:lang w:val="en-US" w:eastAsia="zh-CN"/>
        </w:rPr>
        <w:t xml:space="preserve">                         </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宋体" w:hAnsi="宋体" w:eastAsia="宋体" w:cs="宋体"/>
          <w:b w:val="0"/>
          <w:bCs w:val="0"/>
          <w:w w:val="99"/>
          <w:kern w:val="0"/>
          <w:sz w:val="32"/>
          <w:szCs w:val="32"/>
          <w:lang w:val="en-US" w:eastAsia="zh-CN"/>
        </w:rPr>
        <w:sectPr>
          <w:headerReference r:id="rId5" w:type="first"/>
          <w:headerReference r:id="rId3" w:type="default"/>
          <w:footerReference r:id="rId6" w:type="default"/>
          <w:headerReference r:id="rId4" w:type="even"/>
          <w:footerReference r:id="rId7" w:type="even"/>
          <w:pgSz w:w="11906" w:h="16838"/>
          <w:pgMar w:top="1701" w:right="1474" w:bottom="1134" w:left="1474" w:header="851" w:footer="992" w:gutter="0"/>
          <w:cols w:space="720" w:num="1"/>
          <w:titlePg/>
          <w:docGrid w:type="lines" w:linePitch="318" w:charSpace="0"/>
        </w:sectPr>
      </w:pPr>
      <w:r>
        <w:rPr>
          <w:rFonts w:hint="eastAsia" w:ascii="宋体" w:hAnsi="宋体" w:eastAsia="宋体" w:cs="宋体"/>
          <w:b w:val="0"/>
          <w:bCs w:val="0"/>
          <w:w w:val="99"/>
          <w:kern w:val="0"/>
          <w:sz w:val="32"/>
          <w:szCs w:val="32"/>
          <w:lang w:val="en-US" w:eastAsia="zh-CN"/>
        </w:rPr>
        <w:t>2021年</w:t>
      </w:r>
      <w:r>
        <w:rPr>
          <w:rFonts w:hint="eastAsia" w:ascii="宋体" w:hAnsi="宋体" w:cs="宋体"/>
          <w:b w:val="0"/>
          <w:bCs w:val="0"/>
          <w:w w:val="99"/>
          <w:kern w:val="0"/>
          <w:sz w:val="32"/>
          <w:szCs w:val="32"/>
          <w:lang w:val="en-US" w:eastAsia="zh-CN"/>
        </w:rPr>
        <w:t>11</w:t>
      </w:r>
      <w:r>
        <w:rPr>
          <w:rFonts w:hint="eastAsia" w:ascii="宋体" w:hAnsi="宋体" w:eastAsia="宋体" w:cs="宋体"/>
          <w:b w:val="0"/>
          <w:bCs w:val="0"/>
          <w:w w:val="99"/>
          <w:kern w:val="0"/>
          <w:sz w:val="32"/>
          <w:szCs w:val="32"/>
          <w:lang w:val="en-US" w:eastAsia="zh-CN"/>
        </w:rPr>
        <w:t>月</w:t>
      </w:r>
      <w:r>
        <w:rPr>
          <w:rFonts w:hint="eastAsia" w:ascii="宋体" w:hAnsi="宋体" w:cs="宋体"/>
          <w:b w:val="0"/>
          <w:bCs w:val="0"/>
          <w:w w:val="99"/>
          <w:kern w:val="0"/>
          <w:sz w:val="32"/>
          <w:szCs w:val="32"/>
          <w:lang w:val="en-US" w:eastAsia="zh-CN"/>
        </w:rPr>
        <w:t>9</w:t>
      </w:r>
      <w:r>
        <w:rPr>
          <w:rFonts w:hint="eastAsia" w:ascii="宋体" w:hAnsi="宋体" w:eastAsia="宋体" w:cs="宋体"/>
          <w:b w:val="0"/>
          <w:bCs w:val="0"/>
          <w:w w:val="99"/>
          <w:kern w:val="0"/>
          <w:sz w:val="32"/>
          <w:szCs w:val="32"/>
          <w:lang w:val="en-US" w:eastAsia="zh-CN"/>
        </w:rPr>
        <w:t>日</w:t>
      </w:r>
    </w:p>
    <w:p>
      <w:pPr>
        <w:pageBreakBefore w:val="0"/>
        <w:numPr>
          <w:ilvl w:val="0"/>
          <w:numId w:val="1"/>
        </w:numPr>
        <w:kinsoku/>
        <w:overflowPunct/>
        <w:topLinePunct w:val="0"/>
        <w:bidi w:val="0"/>
        <w:spacing w:line="460" w:lineRule="exact"/>
        <w:jc w:val="center"/>
        <w:textAlignment w:val="auto"/>
        <w:rPr>
          <w:rFonts w:hint="eastAsia" w:ascii="仿宋" w:hAnsi="仿宋" w:eastAsia="仿宋" w:cs="仿宋"/>
          <w:b/>
          <w:sz w:val="28"/>
          <w:szCs w:val="28"/>
        </w:rPr>
      </w:pPr>
      <w:r>
        <w:rPr>
          <w:rFonts w:hint="eastAsia" w:ascii="仿宋" w:hAnsi="仿宋" w:eastAsia="仿宋" w:cs="仿宋"/>
          <w:b/>
          <w:sz w:val="28"/>
          <w:szCs w:val="28"/>
          <w:lang w:eastAsia="zh-CN"/>
        </w:rPr>
        <w:t>比选邀请书</w:t>
      </w:r>
    </w:p>
    <w:p>
      <w:pPr>
        <w:pageBreakBefore w:val="0"/>
        <w:tabs>
          <w:tab w:val="left" w:pos="0"/>
        </w:tabs>
        <w:kinsoku/>
        <w:overflowPunct/>
        <w:topLinePunct w:val="0"/>
        <w:bidi w:val="0"/>
        <w:spacing w:line="460" w:lineRule="exact"/>
        <w:ind w:firstLine="562"/>
        <w:textAlignment w:val="auto"/>
        <w:rPr>
          <w:rFonts w:hint="eastAsia" w:ascii="仿宋" w:hAnsi="仿宋" w:eastAsia="仿宋" w:cs="仿宋"/>
          <w:b/>
          <w:sz w:val="28"/>
          <w:szCs w:val="28"/>
          <w:lang w:eastAsia="zh-CN"/>
        </w:rPr>
      </w:pPr>
    </w:p>
    <w:p>
      <w:pPr>
        <w:pageBreakBefore w:val="0"/>
        <w:tabs>
          <w:tab w:val="left" w:pos="0"/>
        </w:tabs>
        <w:kinsoku/>
        <w:overflowPunct/>
        <w:topLinePunct w:val="0"/>
        <w:bidi w:val="0"/>
        <w:spacing w:line="460" w:lineRule="exact"/>
        <w:ind w:firstLine="562"/>
        <w:textAlignment w:val="auto"/>
        <w:rPr>
          <w:rFonts w:ascii="仿宋" w:hAnsi="仿宋" w:eastAsia="仿宋" w:cs="仿宋"/>
          <w:b/>
          <w:sz w:val="28"/>
          <w:szCs w:val="28"/>
        </w:rPr>
      </w:pPr>
      <w:r>
        <w:rPr>
          <w:rFonts w:hint="eastAsia" w:ascii="仿宋" w:hAnsi="仿宋" w:eastAsia="仿宋" w:cs="仿宋"/>
          <w:b/>
          <w:sz w:val="28"/>
          <w:szCs w:val="28"/>
          <w:lang w:eastAsia="zh-CN"/>
        </w:rPr>
        <w:t>一、</w:t>
      </w:r>
      <w:r>
        <w:rPr>
          <w:rFonts w:hint="eastAsia" w:ascii="仿宋" w:hAnsi="仿宋" w:eastAsia="仿宋" w:cs="仿宋"/>
          <w:b/>
          <w:sz w:val="28"/>
          <w:szCs w:val="28"/>
        </w:rPr>
        <w:t>项目概况</w:t>
      </w:r>
    </w:p>
    <w:p>
      <w:pPr>
        <w:pageBreakBefore w:val="0"/>
        <w:kinsoku/>
        <w:overflowPunct/>
        <w:topLinePunct w:val="0"/>
        <w:bidi w:val="0"/>
        <w:spacing w:line="460" w:lineRule="exact"/>
        <w:ind w:firstLine="560"/>
        <w:textAlignment w:val="auto"/>
        <w:rPr>
          <w:rFonts w:hint="eastAsia" w:ascii="仿宋" w:hAnsi="仿宋" w:eastAsia="仿宋" w:cs="仿宋"/>
          <w:b/>
          <w:color w:val="0070C0"/>
          <w:sz w:val="28"/>
          <w:szCs w:val="28"/>
          <w:lang w:eastAsia="zh-CN"/>
        </w:rPr>
      </w:pPr>
      <w:r>
        <w:rPr>
          <w:rFonts w:hint="eastAsia" w:ascii="仿宋" w:hAnsi="仿宋" w:eastAsia="仿宋" w:cs="仿宋"/>
          <w:sz w:val="28"/>
          <w:szCs w:val="28"/>
          <w:lang w:val="en-US" w:eastAsia="zh-CN"/>
        </w:rPr>
        <w:t>重庆市万州高级技工学校（以下简称比选人）</w:t>
      </w:r>
      <w:r>
        <w:rPr>
          <w:rFonts w:hint="eastAsia" w:ascii="仿宋" w:hAnsi="仿宋" w:eastAsia="仿宋" w:cs="仿宋"/>
          <w:sz w:val="28"/>
          <w:szCs w:val="28"/>
        </w:rPr>
        <w:t>拟对</w:t>
      </w:r>
      <w:r>
        <w:rPr>
          <w:rFonts w:hint="eastAsia" w:ascii="仿宋" w:hAnsi="仿宋" w:eastAsia="仿宋" w:cs="仿宋"/>
          <w:sz w:val="28"/>
          <w:szCs w:val="28"/>
          <w:lang w:eastAsia="zh-CN"/>
        </w:rPr>
        <w:t>“万州烤鱼学院”运营、建设及管理</w:t>
      </w:r>
      <w:r>
        <w:rPr>
          <w:rFonts w:hint="eastAsia" w:ascii="仿宋" w:hAnsi="仿宋" w:eastAsia="仿宋" w:cs="仿宋"/>
          <w:sz w:val="28"/>
          <w:szCs w:val="28"/>
        </w:rPr>
        <w:t>进行</w:t>
      </w:r>
      <w:r>
        <w:rPr>
          <w:rFonts w:hint="eastAsia" w:ascii="仿宋" w:hAnsi="仿宋" w:eastAsia="仿宋" w:cs="仿宋"/>
          <w:sz w:val="28"/>
          <w:szCs w:val="28"/>
          <w:lang w:eastAsia="zh-CN"/>
        </w:rPr>
        <w:t>公开</w:t>
      </w:r>
      <w:r>
        <w:rPr>
          <w:rFonts w:hint="eastAsia" w:ascii="仿宋" w:hAnsi="仿宋" w:eastAsia="仿宋" w:cs="仿宋"/>
          <w:sz w:val="28"/>
          <w:szCs w:val="28"/>
        </w:rPr>
        <w:t>比选</w:t>
      </w:r>
      <w:r>
        <w:rPr>
          <w:rFonts w:hint="eastAsia" w:ascii="仿宋" w:hAnsi="仿宋" w:eastAsia="仿宋" w:cs="仿宋"/>
          <w:sz w:val="28"/>
          <w:szCs w:val="28"/>
          <w:lang w:eastAsia="zh-CN"/>
        </w:rPr>
        <w:t>考核</w:t>
      </w:r>
      <w:r>
        <w:rPr>
          <w:rFonts w:hint="eastAsia" w:ascii="仿宋" w:hAnsi="仿宋" w:eastAsia="仿宋" w:cs="仿宋"/>
          <w:sz w:val="28"/>
          <w:szCs w:val="28"/>
        </w:rPr>
        <w:t>，</w:t>
      </w:r>
      <w:r>
        <w:rPr>
          <w:rFonts w:hint="eastAsia" w:ascii="仿宋" w:hAnsi="仿宋" w:eastAsia="仿宋" w:cs="仿宋"/>
          <w:sz w:val="28"/>
          <w:szCs w:val="28"/>
          <w:lang w:eastAsia="zh-CN"/>
        </w:rPr>
        <w:t>兹邀请</w:t>
      </w:r>
      <w:r>
        <w:rPr>
          <w:rFonts w:hint="eastAsia" w:ascii="仿宋" w:hAnsi="仿宋" w:eastAsia="仿宋" w:cs="仿宋"/>
          <w:sz w:val="28"/>
          <w:szCs w:val="28"/>
        </w:rPr>
        <w:t>符合资格要求、有提供</w:t>
      </w:r>
      <w:r>
        <w:rPr>
          <w:rFonts w:hint="eastAsia" w:ascii="仿宋" w:hAnsi="仿宋" w:eastAsia="仿宋" w:cs="仿宋"/>
          <w:sz w:val="28"/>
          <w:szCs w:val="28"/>
          <w:lang w:eastAsia="zh-CN"/>
        </w:rPr>
        <w:t>相应</w:t>
      </w:r>
      <w:r>
        <w:rPr>
          <w:rFonts w:hint="eastAsia" w:ascii="仿宋" w:hAnsi="仿宋" w:eastAsia="仿宋" w:cs="仿宋"/>
          <w:sz w:val="28"/>
          <w:szCs w:val="28"/>
        </w:rPr>
        <w:t>服务能力的</w:t>
      </w:r>
      <w:r>
        <w:rPr>
          <w:rFonts w:hint="eastAsia" w:ascii="仿宋" w:hAnsi="仿宋" w:eastAsia="仿宋" w:cs="仿宋"/>
          <w:sz w:val="28"/>
          <w:szCs w:val="28"/>
          <w:lang w:eastAsia="zh-CN"/>
        </w:rPr>
        <w:t>法人</w:t>
      </w:r>
      <w:r>
        <w:rPr>
          <w:rFonts w:hint="eastAsia" w:ascii="仿宋" w:hAnsi="仿宋" w:eastAsia="仿宋" w:cs="仿宋"/>
          <w:sz w:val="28"/>
          <w:szCs w:val="28"/>
        </w:rPr>
        <w:t>单位参加</w:t>
      </w:r>
      <w:r>
        <w:rPr>
          <w:rFonts w:hint="eastAsia" w:ascii="仿宋" w:hAnsi="仿宋" w:eastAsia="仿宋" w:cs="仿宋"/>
          <w:sz w:val="28"/>
          <w:szCs w:val="28"/>
          <w:lang w:eastAsia="zh-CN"/>
        </w:rPr>
        <w:t>竞</w:t>
      </w:r>
      <w:r>
        <w:rPr>
          <w:rFonts w:hint="eastAsia" w:ascii="仿宋" w:hAnsi="仿宋" w:eastAsia="仿宋" w:cs="仿宋"/>
          <w:sz w:val="28"/>
          <w:szCs w:val="28"/>
        </w:rPr>
        <w:t>选。</w:t>
      </w:r>
    </w:p>
    <w:p>
      <w:pPr>
        <w:pageBreakBefore w:val="0"/>
        <w:kinsoku/>
        <w:overflowPunct/>
        <w:topLinePunct w:val="0"/>
        <w:bidi w:val="0"/>
        <w:spacing w:line="460" w:lineRule="exact"/>
        <w:ind w:firstLine="562" w:firstLineChars="200"/>
        <w:textAlignment w:val="auto"/>
        <w:rPr>
          <w:rFonts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竞选人资格条件</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（一）具有独立承担民事责任的能力；</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（二）具有良好的商业信誉和健全的财务制度；</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（三）具有履行合同所必需的设备和专业技术能力；</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（四）在经营活动中没有重大违法记录；</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（五）注册资本不低于50万元（</w:t>
      </w:r>
      <w:r>
        <w:rPr>
          <w:rFonts w:hint="default" w:ascii="Arial" w:hAnsi="Arial" w:eastAsia="仿宋" w:cs="Arial"/>
          <w:sz w:val="28"/>
          <w:szCs w:val="28"/>
          <w:lang w:val="en-US" w:eastAsia="zh-CN"/>
        </w:rPr>
        <w:t>≥</w:t>
      </w:r>
      <w:r>
        <w:rPr>
          <w:rFonts w:hint="eastAsia" w:ascii="仿宋" w:hAnsi="仿宋" w:eastAsia="仿宋" w:cs="仿宋"/>
          <w:sz w:val="28"/>
          <w:szCs w:val="28"/>
          <w:lang w:val="en-US" w:eastAsia="zh-CN"/>
        </w:rPr>
        <w:t>50万元）；</w:t>
      </w:r>
    </w:p>
    <w:p>
      <w:pPr>
        <w:pageBreakBefore w:val="0"/>
        <w:kinsoku/>
        <w:overflowPunct/>
        <w:topLinePunct w:val="0"/>
        <w:bidi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i w:val="0"/>
          <w:iCs w:val="0"/>
          <w:caps w:val="0"/>
          <w:color w:val="auto"/>
          <w:spacing w:val="0"/>
          <w:sz w:val="28"/>
          <w:szCs w:val="28"/>
          <w:lang w:eastAsia="zh-CN"/>
        </w:rPr>
        <w:t>（六）</w:t>
      </w:r>
      <w:r>
        <w:rPr>
          <w:rFonts w:hint="eastAsia" w:ascii="仿宋" w:hAnsi="仿宋" w:eastAsia="仿宋" w:cs="仿宋"/>
          <w:color w:val="auto"/>
          <w:sz w:val="28"/>
          <w:szCs w:val="28"/>
          <w:lang w:val="en-US" w:eastAsia="zh-CN"/>
        </w:rPr>
        <w:t>法律、行政法规规定的其他条件；</w:t>
      </w:r>
    </w:p>
    <w:p>
      <w:pPr>
        <w:pageBreakBefore w:val="0"/>
        <w:kinsoku/>
        <w:overflowPunct/>
        <w:topLinePunct w:val="0"/>
        <w:bidi w:val="0"/>
        <w:spacing w:line="460" w:lineRule="exact"/>
        <w:ind w:firstLine="560" w:firstLineChars="200"/>
        <w:textAlignment w:val="auto"/>
        <w:rPr>
          <w:rFonts w:hint="eastAsia" w:ascii="仿宋" w:hAnsi="仿宋" w:eastAsia="仿宋" w:cs="仿宋"/>
          <w:b/>
          <w:color w:val="auto"/>
          <w:sz w:val="28"/>
          <w:szCs w:val="28"/>
          <w:lang w:val="en-US" w:eastAsia="zh-CN"/>
        </w:rPr>
      </w:pPr>
      <w:r>
        <w:rPr>
          <w:rFonts w:hint="eastAsia" w:ascii="仿宋_GB2312" w:hAnsi="宋体" w:eastAsia="仿宋_GB2312"/>
          <w:color w:val="auto"/>
          <w:sz w:val="28"/>
          <w:szCs w:val="28"/>
          <w:lang w:eastAsia="zh-CN"/>
        </w:rPr>
        <w:t>（七）</w:t>
      </w:r>
      <w:r>
        <w:rPr>
          <w:rFonts w:hint="eastAsia" w:ascii="仿宋_GB2312" w:hAnsi="宋体" w:eastAsia="仿宋_GB2312"/>
          <w:color w:val="auto"/>
          <w:sz w:val="28"/>
          <w:szCs w:val="28"/>
        </w:rPr>
        <w:t>本次</w:t>
      </w:r>
      <w:r>
        <w:rPr>
          <w:rFonts w:hint="eastAsia" w:ascii="仿宋_GB2312" w:hAnsi="宋体" w:eastAsia="仿宋_GB2312"/>
          <w:color w:val="auto"/>
          <w:sz w:val="28"/>
          <w:szCs w:val="28"/>
          <w:lang w:eastAsia="zh-CN"/>
        </w:rPr>
        <w:t>竞选</w:t>
      </w:r>
      <w:r>
        <w:rPr>
          <w:rFonts w:hint="eastAsia" w:ascii="仿宋_GB2312" w:hAnsi="宋体" w:eastAsia="仿宋_GB2312"/>
          <w:color w:val="auto"/>
          <w:sz w:val="28"/>
          <w:szCs w:val="28"/>
        </w:rPr>
        <w:t>不接受联合体</w:t>
      </w:r>
      <w:r>
        <w:rPr>
          <w:rFonts w:hint="eastAsia" w:ascii="仿宋_GB2312" w:hAnsi="宋体" w:eastAsia="仿宋_GB2312"/>
          <w:color w:val="auto"/>
          <w:sz w:val="28"/>
          <w:szCs w:val="28"/>
          <w:lang w:eastAsia="zh-CN"/>
        </w:rPr>
        <w:t>投标。</w:t>
      </w:r>
    </w:p>
    <w:p>
      <w:pPr>
        <w:pageBreakBefore w:val="0"/>
        <w:kinsoku/>
        <w:overflowPunct/>
        <w:topLinePunct w:val="0"/>
        <w:bidi w:val="0"/>
        <w:spacing w:line="460" w:lineRule="exact"/>
        <w:ind w:firstLine="562" w:firstLineChars="200"/>
        <w:textAlignment w:val="auto"/>
        <w:rPr>
          <w:rFonts w:hint="eastAsia" w:ascii="仿宋" w:hAnsi="仿宋" w:eastAsia="仿宋" w:cs="仿宋"/>
          <w:b/>
          <w:color w:val="auto"/>
          <w:sz w:val="28"/>
          <w:szCs w:val="28"/>
          <w:lang w:val="en-US" w:eastAsia="zh-CN"/>
        </w:rPr>
      </w:pPr>
      <w:r>
        <w:rPr>
          <w:rFonts w:hint="eastAsia" w:ascii="仿宋" w:hAnsi="仿宋" w:eastAsia="仿宋" w:cs="仿宋"/>
          <w:b/>
          <w:color w:val="auto"/>
          <w:sz w:val="28"/>
          <w:szCs w:val="28"/>
          <w:lang w:val="en-US" w:eastAsia="zh-CN"/>
        </w:rPr>
        <w:t>三、竞选有关说明</w:t>
      </w:r>
    </w:p>
    <w:p>
      <w:pPr>
        <w:pageBreakBefore w:val="0"/>
        <w:kinsoku/>
        <w:overflowPunct/>
        <w:topLinePunct w:val="0"/>
        <w:bidi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（一）竞选文件的公示：竞选文件在比选人网站（</w:t>
      </w:r>
      <w:r>
        <w:rPr>
          <w:rFonts w:hint="eastAsia" w:ascii="仿宋" w:hAnsi="仿宋" w:eastAsia="仿宋" w:cs="仿宋"/>
          <w:sz w:val="28"/>
          <w:szCs w:val="28"/>
          <w:lang w:val="en-US" w:eastAsia="zh-CN"/>
        </w:rPr>
        <w:t>www.cqwzjsxy.cn</w:t>
      </w:r>
      <w:r>
        <w:rPr>
          <w:rFonts w:hint="eastAsia" w:ascii="仿宋" w:hAnsi="仿宋" w:eastAsia="仿宋" w:cs="仿宋"/>
          <w:color w:val="auto"/>
          <w:sz w:val="28"/>
          <w:szCs w:val="28"/>
          <w:lang w:val="en-US" w:eastAsia="zh-CN"/>
        </w:rPr>
        <w:t>）进行公</w:t>
      </w:r>
      <w:bookmarkStart w:id="0" w:name="_GoBack"/>
      <w:bookmarkEnd w:id="0"/>
      <w:r>
        <w:rPr>
          <w:rFonts w:hint="eastAsia" w:ascii="仿宋" w:hAnsi="仿宋" w:eastAsia="仿宋" w:cs="仿宋"/>
          <w:color w:val="auto"/>
          <w:sz w:val="28"/>
          <w:szCs w:val="28"/>
          <w:lang w:val="en-US" w:eastAsia="zh-CN"/>
        </w:rPr>
        <w:t>示。</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（二）竞选文件的获取、报名方式及报名资料：</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1.竞选人报名及报名资料</w:t>
      </w:r>
    </w:p>
    <w:p>
      <w:pPr>
        <w:pageBreakBefore w:val="0"/>
        <w:kinsoku/>
        <w:overflowPunct/>
        <w:topLinePunct w:val="0"/>
        <w:bidi w:val="0"/>
        <w:spacing w:line="460" w:lineRule="exact"/>
        <w:ind w:firstLine="560" w:firstLineChars="200"/>
        <w:textAlignment w:val="auto"/>
        <w:rPr>
          <w:rFonts w:hint="eastAsia" w:ascii="仿宋" w:hAnsi="仿宋" w:eastAsia="仿宋" w:cs="仿宋"/>
          <w:color w:val="0000FF"/>
          <w:sz w:val="28"/>
          <w:szCs w:val="28"/>
          <w:lang w:val="en-US" w:eastAsia="zh-CN"/>
        </w:rPr>
      </w:pPr>
      <w:r>
        <w:rPr>
          <w:rFonts w:hint="eastAsia" w:ascii="仿宋" w:hAnsi="仿宋" w:eastAsia="仿宋" w:cs="仿宋"/>
          <w:sz w:val="28"/>
          <w:szCs w:val="28"/>
          <w:lang w:val="en-US" w:eastAsia="zh-CN"/>
        </w:rPr>
        <w:t>（1）竞选人在规定时间到指定地点报名及领取竞选文件。</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（2）报名人出示身份证原件，同时提供复印件。</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（3）报名人出具经法定代表人签字、公司盖章的“授权委托书”。</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（4）提供经国家工商机关年检合格的营业执照副本复印件（盖鲜章）。</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（5）提供会计师事务所出具的近一年度（2020年）财务审计报告或公司财务报表或基本开户银行出具的资信证明。</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（6）提供“信用中国”网站（www.creditchina.gov.cn）、“中国政府采购网”（www.ccgp.gov.cn）上均无任何违法违规行为的查询结果网页截图打印件。</w:t>
      </w:r>
    </w:p>
    <w:p>
      <w:pPr>
        <w:pageBreakBefore w:val="0"/>
        <w:kinsoku/>
        <w:overflowPunct/>
        <w:topLinePunct w:val="0"/>
        <w:bidi w:val="0"/>
        <w:spacing w:line="460" w:lineRule="exact"/>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2.竞选文件的获取：报名资料合格后当场领取，竞选文件售价200元/份（售后不退）。</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（三）竞选人须满足以下两种条件，其竞选文件才被接受：</w:t>
      </w:r>
    </w:p>
    <w:p>
      <w:pPr>
        <w:pageBreakBefore w:val="0"/>
        <w:kinsoku/>
        <w:overflowPunct/>
        <w:topLinePunct w:val="0"/>
        <w:bidi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1.按要求向重庆市万州高级技工学校缴纳投标保证金（现场缴纳）。</w:t>
      </w:r>
    </w:p>
    <w:p>
      <w:pPr>
        <w:pageBreakBefore w:val="0"/>
        <w:kinsoku/>
        <w:overflowPunct/>
        <w:topLinePunct w:val="0"/>
        <w:bidi w:val="0"/>
        <w:spacing w:line="460" w:lineRule="exact"/>
        <w:ind w:firstLine="560" w:firstLineChars="200"/>
        <w:textAlignment w:val="auto"/>
        <w:rPr>
          <w:rFonts w:hint="eastAsia" w:ascii="仿宋" w:hAnsi="仿宋" w:eastAsia="仿宋" w:cs="仿宋"/>
          <w:b/>
          <w:sz w:val="28"/>
          <w:szCs w:val="28"/>
          <w:lang w:val="en-US" w:eastAsia="zh-CN"/>
        </w:rPr>
      </w:pPr>
      <w:r>
        <w:rPr>
          <w:rFonts w:hint="eastAsia" w:ascii="仿宋" w:hAnsi="仿宋" w:eastAsia="仿宋" w:cs="仿宋"/>
          <w:sz w:val="28"/>
          <w:szCs w:val="28"/>
          <w:lang w:val="en-US" w:eastAsia="zh-CN"/>
        </w:rPr>
        <w:t>2.按时到竞选室报名签到并递交了投标文件。</w:t>
      </w:r>
    </w:p>
    <w:p>
      <w:pPr>
        <w:pageBreakBefore w:val="0"/>
        <w:tabs>
          <w:tab w:val="left" w:pos="0"/>
          <w:tab w:val="left" w:pos="540"/>
        </w:tabs>
        <w:kinsoku/>
        <w:overflowPunct/>
        <w:topLinePunct w:val="0"/>
        <w:bidi w:val="0"/>
        <w:spacing w:line="460" w:lineRule="exact"/>
        <w:ind w:firstLine="56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四、保证金</w:t>
      </w:r>
    </w:p>
    <w:p>
      <w:pPr>
        <w:pageBreakBefore w:val="0"/>
        <w:tabs>
          <w:tab w:val="left" w:pos="0"/>
          <w:tab w:val="left" w:pos="540"/>
        </w:tabs>
        <w:kinsoku/>
        <w:overflowPunct/>
        <w:topLinePunct w:val="0"/>
        <w:bidi w:val="0"/>
        <w:spacing w:line="460" w:lineRule="exact"/>
        <w:ind w:firstLine="56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（一）</w:t>
      </w:r>
      <w:r>
        <w:rPr>
          <w:rFonts w:hint="eastAsia" w:ascii="仿宋" w:hAnsi="仿宋" w:eastAsia="仿宋" w:cs="仿宋"/>
          <w:sz w:val="28"/>
          <w:szCs w:val="28"/>
        </w:rPr>
        <w:t>竞选人应向比选人缴纳竞选保证金</w:t>
      </w:r>
      <w:r>
        <w:rPr>
          <w:rFonts w:hint="eastAsia" w:ascii="仿宋" w:hAnsi="仿宋" w:eastAsia="仿宋" w:cs="仿宋"/>
          <w:sz w:val="28"/>
          <w:szCs w:val="28"/>
          <w:lang w:val="en-US" w:eastAsia="zh-CN"/>
        </w:rPr>
        <w:t>贰</w:t>
      </w:r>
      <w:r>
        <w:rPr>
          <w:rFonts w:hint="eastAsia" w:ascii="仿宋" w:hAnsi="仿宋" w:eastAsia="仿宋" w:cs="仿宋"/>
          <w:sz w:val="28"/>
          <w:szCs w:val="28"/>
          <w:lang w:eastAsia="zh-CN"/>
        </w:rPr>
        <w:t>仟</w:t>
      </w:r>
      <w:r>
        <w:rPr>
          <w:rFonts w:hint="eastAsia" w:ascii="仿宋" w:hAnsi="仿宋" w:eastAsia="仿宋" w:cs="仿宋"/>
          <w:sz w:val="28"/>
          <w:szCs w:val="28"/>
        </w:rPr>
        <w:t>元。竞选保证金</w:t>
      </w:r>
      <w:r>
        <w:rPr>
          <w:rFonts w:hint="eastAsia" w:ascii="仿宋" w:hAnsi="仿宋" w:eastAsia="仿宋" w:cs="仿宋"/>
          <w:sz w:val="28"/>
          <w:szCs w:val="28"/>
          <w:u w:val="none"/>
          <w:lang w:eastAsia="zh-CN"/>
        </w:rPr>
        <w:t>现金</w:t>
      </w:r>
      <w:r>
        <w:rPr>
          <w:rFonts w:hint="eastAsia" w:ascii="仿宋" w:hAnsi="仿宋" w:eastAsia="仿宋" w:cs="仿宋"/>
          <w:sz w:val="28"/>
          <w:szCs w:val="28"/>
          <w:lang w:eastAsia="zh-CN"/>
        </w:rPr>
        <w:t>装于牛皮信封密封并加盖公章，同竞选文件一并递交。</w:t>
      </w:r>
    </w:p>
    <w:p>
      <w:pPr>
        <w:pageBreakBefore w:val="0"/>
        <w:tabs>
          <w:tab w:val="left" w:pos="0"/>
          <w:tab w:val="left" w:pos="540"/>
        </w:tabs>
        <w:kinsoku/>
        <w:overflowPunct/>
        <w:topLinePunct w:val="0"/>
        <w:bidi w:val="0"/>
        <w:spacing w:line="460" w:lineRule="exact"/>
        <w:ind w:left="4" w:firstLine="56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（二）</w:t>
      </w:r>
      <w:r>
        <w:rPr>
          <w:rFonts w:hint="eastAsia" w:ascii="仿宋" w:hAnsi="仿宋" w:eastAsia="仿宋" w:cs="仿宋"/>
          <w:sz w:val="28"/>
          <w:szCs w:val="28"/>
        </w:rPr>
        <w:t>竞选人中选，并与比选</w:t>
      </w:r>
      <w:r>
        <w:rPr>
          <w:rFonts w:hint="eastAsia" w:ascii="仿宋" w:hAnsi="仿宋" w:eastAsia="仿宋" w:cs="仿宋"/>
          <w:sz w:val="28"/>
          <w:szCs w:val="28"/>
          <w:lang w:eastAsia="zh-CN"/>
        </w:rPr>
        <w:t>考核</w:t>
      </w:r>
      <w:r>
        <w:rPr>
          <w:rFonts w:hint="eastAsia" w:ascii="仿宋" w:hAnsi="仿宋" w:eastAsia="仿宋" w:cs="仿宋"/>
          <w:sz w:val="28"/>
          <w:szCs w:val="28"/>
        </w:rPr>
        <w:t>人签订合同</w:t>
      </w:r>
      <w:r>
        <w:rPr>
          <w:rFonts w:hint="eastAsia" w:ascii="仿宋" w:hAnsi="仿宋" w:eastAsia="仿宋" w:cs="仿宋"/>
          <w:sz w:val="28"/>
          <w:szCs w:val="28"/>
          <w:lang w:eastAsia="zh-CN"/>
        </w:rPr>
        <w:t>后</w:t>
      </w:r>
      <w:r>
        <w:rPr>
          <w:rFonts w:hint="eastAsia" w:ascii="仿宋" w:hAnsi="仿宋" w:eastAsia="仿宋" w:cs="仿宋"/>
          <w:sz w:val="28"/>
          <w:szCs w:val="28"/>
        </w:rPr>
        <w:t>，无息退付</w:t>
      </w:r>
      <w:r>
        <w:rPr>
          <w:rFonts w:hint="eastAsia" w:ascii="仿宋" w:hAnsi="仿宋" w:eastAsia="仿宋" w:cs="仿宋"/>
          <w:sz w:val="28"/>
          <w:szCs w:val="28"/>
          <w:lang w:eastAsia="zh-CN"/>
        </w:rPr>
        <w:t>竞选</w:t>
      </w:r>
      <w:r>
        <w:rPr>
          <w:rFonts w:hint="eastAsia" w:ascii="仿宋" w:hAnsi="仿宋" w:eastAsia="仿宋" w:cs="仿宋"/>
          <w:sz w:val="28"/>
          <w:szCs w:val="28"/>
        </w:rPr>
        <w:t>保证金</w:t>
      </w:r>
    </w:p>
    <w:p>
      <w:pPr>
        <w:pageBreakBefore w:val="0"/>
        <w:kinsoku/>
        <w:overflowPunct/>
        <w:topLinePunct w:val="0"/>
        <w:bidi w:val="0"/>
        <w:spacing w:line="460" w:lineRule="exact"/>
        <w:ind w:firstLine="560" w:firstLineChars="200"/>
        <w:textAlignment w:val="auto"/>
      </w:pPr>
      <w:r>
        <w:rPr>
          <w:rFonts w:hint="eastAsia" w:ascii="仿宋" w:hAnsi="仿宋" w:eastAsia="仿宋" w:cs="仿宋"/>
          <w:sz w:val="28"/>
          <w:szCs w:val="28"/>
          <w:lang w:val="en-US" w:eastAsia="zh-CN"/>
        </w:rPr>
        <w:t>（三）</w:t>
      </w:r>
      <w:r>
        <w:rPr>
          <w:rFonts w:hint="eastAsia" w:ascii="仿宋" w:hAnsi="仿宋" w:eastAsia="仿宋" w:cs="仿宋"/>
          <w:sz w:val="28"/>
          <w:szCs w:val="28"/>
        </w:rPr>
        <w:t>竞选人</w:t>
      </w:r>
      <w:r>
        <w:rPr>
          <w:rFonts w:hint="eastAsia" w:ascii="仿宋" w:hAnsi="仿宋" w:eastAsia="仿宋" w:cs="仿宋"/>
          <w:sz w:val="28"/>
          <w:szCs w:val="28"/>
          <w:lang w:val="en-US" w:eastAsia="zh-CN"/>
        </w:rPr>
        <w:t>未</w:t>
      </w:r>
      <w:r>
        <w:rPr>
          <w:rFonts w:hint="eastAsia" w:ascii="仿宋" w:hAnsi="仿宋" w:eastAsia="仿宋" w:cs="仿宋"/>
          <w:sz w:val="28"/>
          <w:szCs w:val="28"/>
        </w:rPr>
        <w:t>中</w:t>
      </w:r>
      <w:r>
        <w:rPr>
          <w:rFonts w:hint="eastAsia" w:ascii="仿宋" w:hAnsi="仿宋" w:eastAsia="仿宋" w:cs="仿宋"/>
          <w:sz w:val="28"/>
          <w:szCs w:val="28"/>
          <w:lang w:eastAsia="zh-CN"/>
        </w:rPr>
        <w:t>，现场</w:t>
      </w:r>
      <w:r>
        <w:rPr>
          <w:rFonts w:hint="eastAsia" w:ascii="仿宋" w:hAnsi="仿宋" w:eastAsia="仿宋" w:cs="仿宋"/>
          <w:sz w:val="28"/>
          <w:szCs w:val="28"/>
          <w:lang w:val="en-US" w:eastAsia="zh-CN"/>
        </w:rPr>
        <w:t>即时退还投标保证金。</w:t>
      </w:r>
    </w:p>
    <w:p>
      <w:pPr>
        <w:pageBreakBefore w:val="0"/>
        <w:tabs>
          <w:tab w:val="left" w:pos="0"/>
          <w:tab w:val="left" w:pos="540"/>
        </w:tabs>
        <w:kinsoku/>
        <w:overflowPunct/>
        <w:topLinePunct w:val="0"/>
        <w:bidi w:val="0"/>
        <w:spacing w:line="460" w:lineRule="exact"/>
        <w:ind w:firstLine="560"/>
        <w:textAlignment w:val="auto"/>
        <w:rPr>
          <w:rFonts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出现以下情况，比选</w:t>
      </w:r>
      <w:r>
        <w:rPr>
          <w:rFonts w:hint="eastAsia" w:ascii="仿宋" w:hAnsi="仿宋" w:eastAsia="仿宋" w:cs="仿宋"/>
          <w:sz w:val="28"/>
          <w:szCs w:val="28"/>
          <w:lang w:eastAsia="zh-CN"/>
        </w:rPr>
        <w:t>考核</w:t>
      </w:r>
      <w:r>
        <w:rPr>
          <w:rFonts w:hint="eastAsia" w:ascii="仿宋" w:hAnsi="仿宋" w:eastAsia="仿宋" w:cs="仿宋"/>
          <w:sz w:val="28"/>
          <w:szCs w:val="28"/>
        </w:rPr>
        <w:t>人将不予退还竞选人缴纳的竞选保证金：</w:t>
      </w:r>
    </w:p>
    <w:p>
      <w:pPr>
        <w:pageBreakBefore w:val="0"/>
        <w:tabs>
          <w:tab w:val="left" w:pos="0"/>
          <w:tab w:val="left" w:pos="540"/>
        </w:tabs>
        <w:kinsoku/>
        <w:overflowPunct/>
        <w:topLinePunct w:val="0"/>
        <w:bidi w:val="0"/>
        <w:spacing w:line="460" w:lineRule="exact"/>
        <w:ind w:firstLine="840" w:firstLineChars="3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中选人自中选之日起，在3个工作日之内不与比选</w:t>
      </w:r>
      <w:r>
        <w:rPr>
          <w:rFonts w:hint="eastAsia" w:ascii="仿宋" w:hAnsi="仿宋" w:eastAsia="仿宋" w:cs="仿宋"/>
          <w:sz w:val="28"/>
          <w:szCs w:val="28"/>
          <w:lang w:eastAsia="zh-CN"/>
        </w:rPr>
        <w:t>考核</w:t>
      </w:r>
      <w:r>
        <w:rPr>
          <w:rFonts w:hint="eastAsia" w:ascii="仿宋" w:hAnsi="仿宋" w:eastAsia="仿宋" w:cs="仿宋"/>
          <w:sz w:val="28"/>
          <w:szCs w:val="28"/>
        </w:rPr>
        <w:t>人签订合同，视为中选人放弃中选资格</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w:t>
      </w:r>
    </w:p>
    <w:p>
      <w:pPr>
        <w:pageBreakBefore w:val="0"/>
        <w:tabs>
          <w:tab w:val="left" w:pos="0"/>
          <w:tab w:val="left" w:pos="540"/>
        </w:tabs>
        <w:kinsoku/>
        <w:overflowPunct/>
        <w:topLinePunct w:val="0"/>
        <w:bidi w:val="0"/>
        <w:spacing w:line="460" w:lineRule="exact"/>
        <w:ind w:firstLine="840" w:firstLineChars="300"/>
        <w:textAlignment w:val="auto"/>
        <w:rPr>
          <w:rFonts w:hint="eastAsia" w:ascii="仿宋" w:hAnsi="仿宋" w:eastAsia="仿宋" w:cs="仿宋"/>
          <w:b/>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竞选文件开启后，竞选人不是因为竞选文件作废而主动放弃竞选的，或者被评为中选候选人在公示期内无正当理由主动放弃中选或候选资格</w:t>
      </w:r>
      <w:r>
        <w:rPr>
          <w:rFonts w:hint="eastAsia" w:ascii="仿宋" w:hAnsi="仿宋" w:eastAsia="仿宋" w:cs="仿宋"/>
          <w:sz w:val="28"/>
          <w:szCs w:val="28"/>
          <w:lang w:val="en-US" w:eastAsia="zh-CN"/>
        </w:rPr>
        <w:t>的</w:t>
      </w:r>
      <w:r>
        <w:rPr>
          <w:rFonts w:hint="eastAsia" w:ascii="仿宋" w:hAnsi="仿宋" w:eastAsia="仿宋" w:cs="仿宋"/>
          <w:sz w:val="28"/>
          <w:szCs w:val="28"/>
        </w:rPr>
        <w:t>。</w:t>
      </w:r>
    </w:p>
    <w:p>
      <w:pPr>
        <w:pageBreakBefore w:val="0"/>
        <w:numPr>
          <w:ilvl w:val="0"/>
          <w:numId w:val="0"/>
        </w:numPr>
        <w:tabs>
          <w:tab w:val="left" w:pos="0"/>
        </w:tabs>
        <w:kinsoku/>
        <w:overflowPunct/>
        <w:topLinePunct w:val="0"/>
        <w:bidi w:val="0"/>
        <w:spacing w:line="460" w:lineRule="exact"/>
        <w:ind w:left="602" w:leftChars="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五、竞选有关规定</w:t>
      </w:r>
    </w:p>
    <w:p>
      <w:pPr>
        <w:pageBreakBefore w:val="0"/>
        <w:tabs>
          <w:tab w:val="left" w:pos="0"/>
          <w:tab w:val="left" w:pos="540"/>
        </w:tabs>
        <w:kinsoku/>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一</w:t>
      </w:r>
      <w:r>
        <w:rPr>
          <w:rFonts w:hint="eastAsia" w:ascii="仿宋" w:hAnsi="仿宋" w:eastAsia="仿宋" w:cs="仿宋"/>
          <w:sz w:val="28"/>
          <w:szCs w:val="28"/>
        </w:rPr>
        <w:t>）超过</w:t>
      </w:r>
      <w:r>
        <w:rPr>
          <w:rFonts w:hint="eastAsia" w:ascii="仿宋" w:hAnsi="仿宋" w:eastAsia="仿宋" w:cs="仿宋"/>
          <w:sz w:val="28"/>
          <w:szCs w:val="28"/>
          <w:lang w:eastAsia="zh-CN"/>
        </w:rPr>
        <w:t>比选</w:t>
      </w:r>
      <w:r>
        <w:rPr>
          <w:rFonts w:hint="eastAsia" w:ascii="仿宋" w:hAnsi="仿宋" w:eastAsia="仿宋" w:cs="仿宋"/>
          <w:sz w:val="28"/>
          <w:szCs w:val="28"/>
        </w:rPr>
        <w:t>截止时间递交的投标文件，恕不接收。</w:t>
      </w:r>
    </w:p>
    <w:p>
      <w:pPr>
        <w:pageBreakBefore w:val="0"/>
        <w:tabs>
          <w:tab w:val="left" w:pos="0"/>
          <w:tab w:val="left" w:pos="540"/>
        </w:tabs>
        <w:kinsoku/>
        <w:overflowPunct/>
        <w:topLinePunct w:val="0"/>
        <w:bidi w:val="0"/>
        <w:spacing w:line="4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）投标费用：无论</w:t>
      </w:r>
      <w:r>
        <w:rPr>
          <w:rFonts w:hint="eastAsia" w:ascii="仿宋" w:hAnsi="仿宋" w:eastAsia="仿宋" w:cs="仿宋"/>
          <w:sz w:val="28"/>
          <w:szCs w:val="28"/>
          <w:lang w:eastAsia="zh-CN"/>
        </w:rPr>
        <w:t>比选</w:t>
      </w:r>
      <w:r>
        <w:rPr>
          <w:rFonts w:hint="eastAsia" w:ascii="仿宋" w:hAnsi="仿宋" w:eastAsia="仿宋" w:cs="仿宋"/>
          <w:sz w:val="28"/>
          <w:szCs w:val="28"/>
        </w:rPr>
        <w:t>结果如何，</w:t>
      </w:r>
      <w:r>
        <w:rPr>
          <w:rFonts w:hint="eastAsia" w:ascii="仿宋" w:hAnsi="仿宋" w:eastAsia="仿宋" w:cs="仿宋"/>
          <w:sz w:val="28"/>
          <w:szCs w:val="28"/>
          <w:lang w:eastAsia="zh-CN"/>
        </w:rPr>
        <w:t>竞选</w:t>
      </w:r>
      <w:r>
        <w:rPr>
          <w:rFonts w:hint="eastAsia" w:ascii="仿宋" w:hAnsi="仿宋" w:eastAsia="仿宋" w:cs="仿宋"/>
          <w:sz w:val="28"/>
          <w:szCs w:val="28"/>
        </w:rPr>
        <w:t>人参与本项目</w:t>
      </w:r>
      <w:r>
        <w:rPr>
          <w:rFonts w:hint="eastAsia" w:ascii="仿宋" w:hAnsi="仿宋" w:eastAsia="仿宋" w:cs="仿宋"/>
          <w:sz w:val="28"/>
          <w:szCs w:val="28"/>
          <w:lang w:eastAsia="zh-CN"/>
        </w:rPr>
        <w:t>比选</w:t>
      </w:r>
      <w:r>
        <w:rPr>
          <w:rFonts w:hint="eastAsia" w:ascii="仿宋" w:hAnsi="仿宋" w:eastAsia="仿宋" w:cs="仿宋"/>
          <w:sz w:val="28"/>
          <w:szCs w:val="28"/>
        </w:rPr>
        <w:t>的所有费用均应由</w:t>
      </w:r>
      <w:r>
        <w:rPr>
          <w:rFonts w:hint="eastAsia" w:ascii="仿宋" w:hAnsi="仿宋" w:eastAsia="仿宋" w:cs="仿宋"/>
          <w:sz w:val="28"/>
          <w:szCs w:val="28"/>
          <w:lang w:eastAsia="zh-CN"/>
        </w:rPr>
        <w:t>比选</w:t>
      </w:r>
      <w:r>
        <w:rPr>
          <w:rFonts w:hint="eastAsia" w:ascii="仿宋" w:hAnsi="仿宋" w:eastAsia="仿宋" w:cs="仿宋"/>
          <w:sz w:val="28"/>
          <w:szCs w:val="28"/>
        </w:rPr>
        <w:t>人自行承担。</w:t>
      </w:r>
    </w:p>
    <w:p>
      <w:pPr>
        <w:pageBreakBefore w:val="0"/>
        <w:tabs>
          <w:tab w:val="left" w:pos="0"/>
          <w:tab w:val="left" w:pos="540"/>
        </w:tabs>
        <w:kinsoku/>
        <w:overflowPunct/>
        <w:topLinePunct w:val="0"/>
        <w:bidi w:val="0"/>
        <w:spacing w:line="460" w:lineRule="exact"/>
        <w:ind w:firstLine="560" w:firstLineChars="200"/>
        <w:textAlignment w:val="auto"/>
        <w:rPr>
          <w:rFonts w:hint="eastAsia" w:ascii="仿宋" w:hAnsi="仿宋" w:eastAsia="仿宋" w:cs="仿宋"/>
          <w:b/>
          <w:sz w:val="28"/>
          <w:szCs w:val="28"/>
          <w:lang w:val="en-US" w:eastAsia="zh-CN"/>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）投标人列入失信被执行人、重大税收违法案件当事人名单、政府采购严重违法失信行为记录名单及其他不符合《中华人民共和国政府采购法》第二十二条规定条件的投标人，将拒绝其参与政府采购活动。</w:t>
      </w:r>
    </w:p>
    <w:p>
      <w:pPr>
        <w:pageBreakBefore w:val="0"/>
        <w:numPr>
          <w:ilvl w:val="0"/>
          <w:numId w:val="0"/>
        </w:numPr>
        <w:tabs>
          <w:tab w:val="left" w:pos="0"/>
        </w:tabs>
        <w:kinsoku/>
        <w:overflowPunct/>
        <w:topLinePunct w:val="0"/>
        <w:bidi w:val="0"/>
        <w:spacing w:line="460" w:lineRule="exact"/>
        <w:ind w:left="602" w:leftChars="0"/>
        <w:textAlignment w:val="auto"/>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六、比选时间及安排</w:t>
      </w:r>
    </w:p>
    <w:p>
      <w:pPr>
        <w:pageBreakBefore w:val="0"/>
        <w:numPr>
          <w:ilvl w:val="0"/>
          <w:numId w:val="0"/>
        </w:numPr>
        <w:tabs>
          <w:tab w:val="left" w:pos="0"/>
        </w:tabs>
        <w:kinsoku/>
        <w:overflowPunct/>
        <w:topLinePunct w:val="0"/>
        <w:bidi w:val="0"/>
        <w:spacing w:line="460" w:lineRule="exact"/>
        <w:ind w:firstLine="560" w:firstLineChars="20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（一）发布时间：2021年11月9日9：00。</w:t>
      </w:r>
    </w:p>
    <w:p>
      <w:pPr>
        <w:pageBreakBefore w:val="0"/>
        <w:numPr>
          <w:ilvl w:val="0"/>
          <w:numId w:val="0"/>
        </w:numPr>
        <w:tabs>
          <w:tab w:val="left" w:pos="0"/>
        </w:tabs>
        <w:kinsoku/>
        <w:overflowPunct/>
        <w:topLinePunct w:val="0"/>
        <w:bidi w:val="0"/>
        <w:spacing w:line="460" w:lineRule="exact"/>
        <w:ind w:firstLine="560" w:firstLineChars="20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（二）报名时间：2021年11月9日9：00-2021年11月11日17：00止。</w:t>
      </w:r>
    </w:p>
    <w:p>
      <w:pPr>
        <w:pageBreakBefore w:val="0"/>
        <w:numPr>
          <w:ilvl w:val="0"/>
          <w:numId w:val="0"/>
        </w:numPr>
        <w:tabs>
          <w:tab w:val="left" w:pos="0"/>
        </w:tabs>
        <w:kinsoku/>
        <w:overflowPunct/>
        <w:topLinePunct w:val="0"/>
        <w:bidi w:val="0"/>
        <w:spacing w:line="460" w:lineRule="exact"/>
        <w:ind w:left="602" w:leftChars="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（三）报名地点：万州烤鱼学院B栋304室。</w:t>
      </w:r>
    </w:p>
    <w:p>
      <w:pPr>
        <w:pageBreakBefore w:val="0"/>
        <w:numPr>
          <w:ilvl w:val="0"/>
          <w:numId w:val="0"/>
        </w:numPr>
        <w:tabs>
          <w:tab w:val="left" w:pos="0"/>
        </w:tabs>
        <w:kinsoku/>
        <w:overflowPunct/>
        <w:topLinePunct w:val="0"/>
        <w:bidi w:val="0"/>
        <w:spacing w:line="460" w:lineRule="exact"/>
        <w:ind w:left="602" w:leftChars="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（四）联系人：向洪 15213562233。</w:t>
      </w:r>
    </w:p>
    <w:p>
      <w:pPr>
        <w:pageBreakBefore w:val="0"/>
        <w:numPr>
          <w:ilvl w:val="0"/>
          <w:numId w:val="0"/>
        </w:numPr>
        <w:tabs>
          <w:tab w:val="left" w:pos="0"/>
        </w:tabs>
        <w:kinsoku/>
        <w:overflowPunct/>
        <w:topLinePunct w:val="0"/>
        <w:bidi w:val="0"/>
        <w:spacing w:line="460" w:lineRule="exact"/>
        <w:ind w:firstLine="560" w:firstLineChars="200"/>
        <w:textAlignment w:val="auto"/>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（五）竞选文件递交截止时间：2021年11月9日9：00-2021年11月11日17：00止。</w:t>
      </w:r>
    </w:p>
    <w:p>
      <w:pPr>
        <w:pageBreakBefore w:val="0"/>
        <w:numPr>
          <w:ilvl w:val="0"/>
          <w:numId w:val="0"/>
        </w:numPr>
        <w:tabs>
          <w:tab w:val="left" w:pos="0"/>
        </w:tabs>
        <w:kinsoku/>
        <w:overflowPunct/>
        <w:topLinePunct w:val="0"/>
        <w:bidi w:val="0"/>
        <w:spacing w:line="460" w:lineRule="exact"/>
        <w:ind w:left="602" w:leftChars="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（六）比选时间：2021年11月12日10：00。</w:t>
      </w:r>
    </w:p>
    <w:p>
      <w:pPr>
        <w:pageBreakBefore w:val="0"/>
        <w:numPr>
          <w:ilvl w:val="0"/>
          <w:numId w:val="0"/>
        </w:numPr>
        <w:tabs>
          <w:tab w:val="left" w:pos="0"/>
        </w:tabs>
        <w:kinsoku/>
        <w:overflowPunct/>
        <w:topLinePunct w:val="0"/>
        <w:bidi w:val="0"/>
        <w:spacing w:line="460" w:lineRule="exact"/>
        <w:ind w:left="602" w:leftChars="0"/>
        <w:textAlignment w:val="auto"/>
        <w:rPr>
          <w:rFonts w:hint="default"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（七）比选地点：万州烤鱼学院B栋314会议室。</w:t>
      </w:r>
    </w:p>
    <w:p>
      <w:pPr>
        <w:pageBreakBefore w:val="0"/>
        <w:kinsoku/>
        <w:overflowPunct/>
        <w:topLinePunct w:val="0"/>
        <w:bidi w:val="0"/>
        <w:spacing w:line="46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val="0"/>
          <w:bCs/>
          <w:sz w:val="28"/>
          <w:szCs w:val="28"/>
          <w:lang w:val="en-US" w:eastAsia="zh-CN"/>
        </w:rPr>
        <w:t>（八）比选结果公告：比</w:t>
      </w:r>
      <w:r>
        <w:rPr>
          <w:rFonts w:hint="eastAsia" w:ascii="仿宋" w:hAnsi="仿宋" w:eastAsia="仿宋" w:cs="仿宋"/>
          <w:color w:val="auto"/>
          <w:sz w:val="28"/>
          <w:szCs w:val="28"/>
          <w:lang w:val="en-US" w:eastAsia="zh-CN"/>
        </w:rPr>
        <w:t>选人网站（</w:t>
      </w:r>
      <w:r>
        <w:rPr>
          <w:rFonts w:hint="eastAsia" w:ascii="仿宋" w:hAnsi="仿宋" w:eastAsia="仿宋" w:cs="仿宋"/>
          <w:sz w:val="28"/>
          <w:szCs w:val="28"/>
          <w:lang w:val="en-US" w:eastAsia="zh-CN"/>
        </w:rPr>
        <w:t>www.cqwzjsxy.cn</w:t>
      </w:r>
      <w:r>
        <w:rPr>
          <w:rFonts w:hint="eastAsia" w:ascii="仿宋" w:hAnsi="仿宋" w:eastAsia="仿宋" w:cs="仿宋"/>
          <w:color w:val="auto"/>
          <w:sz w:val="28"/>
          <w:szCs w:val="28"/>
          <w:lang w:val="en-US" w:eastAsia="zh-CN"/>
        </w:rPr>
        <w:t>）进行公告。</w:t>
      </w:r>
    </w:p>
    <w:p>
      <w:pPr>
        <w:pageBreakBefore w:val="0"/>
        <w:numPr>
          <w:ilvl w:val="0"/>
          <w:numId w:val="0"/>
        </w:numPr>
        <w:tabs>
          <w:tab w:val="left" w:pos="0"/>
        </w:tabs>
        <w:kinsoku/>
        <w:overflowPunct/>
        <w:topLinePunct w:val="0"/>
        <w:bidi w:val="0"/>
        <w:spacing w:line="460" w:lineRule="exact"/>
        <w:ind w:left="602" w:leftChars="0"/>
        <w:textAlignment w:val="auto"/>
        <w:rPr>
          <w:rFonts w:hint="eastAsia" w:ascii="仿宋" w:hAnsi="仿宋" w:eastAsia="仿宋" w:cs="仿宋"/>
          <w:b w:val="0"/>
          <w:bCs/>
          <w:sz w:val="28"/>
          <w:szCs w:val="28"/>
          <w:lang w:val="en-US" w:eastAsia="zh-CN"/>
        </w:rPr>
      </w:pPr>
    </w:p>
    <w:p>
      <w:pPr>
        <w:pageBreakBefore w:val="0"/>
        <w:numPr>
          <w:ilvl w:val="0"/>
          <w:numId w:val="0"/>
        </w:numPr>
        <w:tabs>
          <w:tab w:val="left" w:pos="0"/>
        </w:tabs>
        <w:kinsoku/>
        <w:overflowPunct/>
        <w:topLinePunct w:val="0"/>
        <w:bidi w:val="0"/>
        <w:spacing w:line="460" w:lineRule="exact"/>
        <w:ind w:left="602" w:leftChars="0"/>
        <w:textAlignment w:val="auto"/>
        <w:rPr>
          <w:rFonts w:hint="eastAsia" w:ascii="仿宋" w:hAnsi="仿宋" w:eastAsia="仿宋" w:cs="仿宋"/>
          <w:b w:val="0"/>
          <w:bCs/>
          <w:sz w:val="28"/>
          <w:szCs w:val="28"/>
          <w:lang w:val="en-US" w:eastAsia="zh-CN"/>
        </w:rPr>
      </w:pPr>
    </w:p>
    <w:p>
      <w:pPr>
        <w:pageBreakBefore w:val="0"/>
        <w:numPr>
          <w:ilvl w:val="0"/>
          <w:numId w:val="0"/>
        </w:numPr>
        <w:tabs>
          <w:tab w:val="left" w:pos="0"/>
        </w:tabs>
        <w:kinsoku/>
        <w:overflowPunct/>
        <w:topLinePunct w:val="0"/>
        <w:bidi w:val="0"/>
        <w:spacing w:line="460" w:lineRule="exact"/>
        <w:ind w:left="602" w:leftChars="0"/>
        <w:textAlignment w:val="auto"/>
        <w:rPr>
          <w:rFonts w:hint="eastAsia" w:ascii="仿宋" w:hAnsi="仿宋" w:eastAsia="仿宋" w:cs="仿宋"/>
          <w:b/>
          <w:sz w:val="28"/>
          <w:szCs w:val="28"/>
          <w:lang w:val="en-US" w:eastAsia="zh-CN"/>
        </w:rPr>
      </w:pPr>
    </w:p>
    <w:p>
      <w:pPr>
        <w:pageBreakBefore w:val="0"/>
        <w:kinsoku/>
        <w:overflowPunct/>
        <w:topLinePunct w:val="0"/>
        <w:bidi w:val="0"/>
        <w:spacing w:line="460" w:lineRule="exact"/>
        <w:jc w:val="center"/>
        <w:textAlignment w:val="auto"/>
        <w:rPr>
          <w:rFonts w:hint="eastAsia" w:ascii="仿宋" w:hAnsi="仿宋" w:eastAsia="仿宋" w:cs="仿宋"/>
          <w:b/>
          <w:sz w:val="28"/>
          <w:szCs w:val="28"/>
        </w:rPr>
      </w:pPr>
    </w:p>
    <w:p>
      <w:pPr>
        <w:pageBreakBefore w:val="0"/>
        <w:kinsoku/>
        <w:overflowPunct/>
        <w:topLinePunct w:val="0"/>
        <w:bidi w:val="0"/>
        <w:spacing w:line="460" w:lineRule="exact"/>
        <w:jc w:val="center"/>
        <w:textAlignment w:val="auto"/>
        <w:rPr>
          <w:rFonts w:hint="eastAsia" w:ascii="仿宋" w:hAnsi="仿宋" w:eastAsia="仿宋" w:cs="仿宋"/>
          <w:b/>
          <w:sz w:val="28"/>
          <w:szCs w:val="28"/>
        </w:rPr>
      </w:pPr>
    </w:p>
    <w:p>
      <w:pPr>
        <w:keepNext w:val="0"/>
        <w:keepLines w:val="0"/>
        <w:pageBreakBefore/>
        <w:widowControl w:val="0"/>
        <w:kinsoku/>
        <w:wordWrap/>
        <w:overflowPunct/>
        <w:topLinePunct w:val="0"/>
        <w:autoSpaceDE/>
        <w:autoSpaceDN/>
        <w:bidi w:val="0"/>
        <w:adjustRightInd/>
        <w:snapToGrid/>
        <w:spacing w:line="460" w:lineRule="exact"/>
        <w:jc w:val="center"/>
        <w:textAlignment w:val="auto"/>
        <w:rPr>
          <w:rFonts w:ascii="仿宋" w:hAnsi="仿宋" w:eastAsia="仿宋" w:cs="仿宋"/>
          <w:b/>
          <w:sz w:val="28"/>
          <w:szCs w:val="28"/>
        </w:rPr>
      </w:pPr>
      <w:r>
        <w:rPr>
          <w:rFonts w:hint="eastAsia" w:ascii="仿宋" w:hAnsi="仿宋" w:eastAsia="仿宋" w:cs="仿宋"/>
          <w:b/>
          <w:sz w:val="28"/>
          <w:szCs w:val="28"/>
        </w:rPr>
        <w:t xml:space="preserve">第二章  </w:t>
      </w:r>
      <w:r>
        <w:rPr>
          <w:rFonts w:hint="eastAsia" w:ascii="仿宋" w:hAnsi="仿宋" w:eastAsia="仿宋" w:cs="仿宋"/>
          <w:b/>
          <w:sz w:val="28"/>
          <w:szCs w:val="28"/>
          <w:lang w:eastAsia="zh-CN"/>
        </w:rPr>
        <w:t>项目服务要求</w:t>
      </w:r>
    </w:p>
    <w:p>
      <w:pPr>
        <w:spacing w:line="500" w:lineRule="exact"/>
        <w:ind w:firstLine="560" w:firstLineChars="200"/>
        <w:rPr>
          <w:rFonts w:hint="eastAsia" w:ascii="仿宋_GB2312" w:hAnsi="宋体" w:eastAsia="仿宋_GB2312"/>
          <w:bCs/>
          <w:sz w:val="28"/>
          <w:szCs w:val="28"/>
        </w:rPr>
      </w:pP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一、项目介绍：</w:t>
      </w:r>
    </w:p>
    <w:p>
      <w:pPr>
        <w:spacing w:line="500" w:lineRule="exact"/>
        <w:ind w:firstLine="560" w:firstLineChars="200"/>
        <w:rPr>
          <w:rFonts w:hint="default" w:ascii="仿宋_GB2312" w:hAnsi="宋体" w:eastAsia="仿宋_GB2312"/>
          <w:bCs/>
          <w:sz w:val="28"/>
          <w:szCs w:val="28"/>
        </w:rPr>
      </w:pPr>
      <w:r>
        <w:rPr>
          <w:rFonts w:hint="eastAsia" w:ascii="仿宋_GB2312" w:hAnsi="宋体" w:eastAsia="仿宋_GB2312"/>
          <w:bCs/>
          <w:sz w:val="28"/>
          <w:szCs w:val="28"/>
        </w:rPr>
        <w:t>招标内容：校企合作单位。由企业与学院通过产、学、研相结合，</w:t>
      </w:r>
      <w:r>
        <w:rPr>
          <w:rFonts w:hint="default" w:ascii="仿宋_GB2312" w:hAnsi="宋体" w:eastAsia="仿宋_GB2312"/>
          <w:bCs/>
          <w:sz w:val="28"/>
          <w:szCs w:val="28"/>
        </w:rPr>
        <w:t>整合优势办学资源，共同建设并运营万州烤鱼学院。</w:t>
      </w:r>
    </w:p>
    <w:p>
      <w:pPr>
        <w:numPr>
          <w:ilvl w:val="0"/>
          <w:numId w:val="2"/>
        </w:num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项目</w:t>
      </w:r>
      <w:r>
        <w:rPr>
          <w:rFonts w:hint="default" w:ascii="仿宋_GB2312" w:hAnsi="宋体" w:eastAsia="仿宋_GB2312"/>
          <w:bCs/>
          <w:sz w:val="28"/>
          <w:szCs w:val="28"/>
          <w:lang w:eastAsia="zh-CN"/>
        </w:rPr>
        <w:t>评分标准</w:t>
      </w: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采用综合评分法</w:t>
      </w:r>
      <w:r>
        <w:rPr>
          <w:rFonts w:hint="eastAsia" w:ascii="仿宋_GB2312" w:hAnsi="宋体" w:eastAsia="仿宋_GB2312"/>
          <w:bCs/>
          <w:sz w:val="28"/>
          <w:szCs w:val="28"/>
          <w:lang w:eastAsia="zh-CN"/>
        </w:rPr>
        <w:t>）</w:t>
      </w:r>
      <w:r>
        <w:rPr>
          <w:rFonts w:hint="eastAsia" w:ascii="仿宋_GB2312" w:hAnsi="宋体" w:eastAsia="仿宋_GB2312"/>
          <w:bCs/>
          <w:sz w:val="28"/>
          <w:szCs w:val="28"/>
        </w:rPr>
        <w:t>：</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2"/>
        <w:gridCol w:w="788"/>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342" w:type="dxa"/>
            <w:vAlign w:val="center"/>
          </w:tcPr>
          <w:p>
            <w:pPr>
              <w:spacing w:line="500" w:lineRule="exact"/>
              <w:jc w:val="center"/>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评分因素及权重</w:t>
            </w:r>
          </w:p>
        </w:tc>
        <w:tc>
          <w:tcPr>
            <w:tcW w:w="788" w:type="dxa"/>
            <w:vAlign w:val="center"/>
          </w:tcPr>
          <w:p>
            <w:pPr>
              <w:spacing w:line="500" w:lineRule="exact"/>
              <w:jc w:val="center"/>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分值</w:t>
            </w:r>
          </w:p>
        </w:tc>
        <w:tc>
          <w:tcPr>
            <w:tcW w:w="6392" w:type="dxa"/>
            <w:vAlign w:val="center"/>
          </w:tcPr>
          <w:p>
            <w:pPr>
              <w:spacing w:line="500" w:lineRule="exact"/>
              <w:jc w:val="center"/>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eastAsia="zh-CN"/>
              </w:rPr>
              <w:t>管理机构（</w:t>
            </w:r>
            <w:r>
              <w:rPr>
                <w:rFonts w:hint="eastAsia" w:ascii="仿宋_GB2312" w:hAnsi="宋体" w:eastAsia="仿宋_GB2312"/>
                <w:bCs/>
                <w:sz w:val="28"/>
                <w:szCs w:val="28"/>
                <w:vertAlign w:val="baseline"/>
                <w:lang w:val="en-US" w:eastAsia="zh-CN"/>
              </w:rPr>
              <w:t>10%）</w:t>
            </w: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10</w:t>
            </w:r>
          </w:p>
        </w:tc>
        <w:tc>
          <w:tcPr>
            <w:tcW w:w="6392" w:type="dxa"/>
          </w:tcPr>
          <w:p>
            <w:pPr>
              <w:spacing w:line="500" w:lineRule="exact"/>
              <w:rPr>
                <w:rFonts w:hint="eastAsia"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管理机构建设：组织管理机构健全，有专业的管理人员</w:t>
            </w:r>
            <w:r>
              <w:rPr>
                <w:rFonts w:hint="eastAsia" w:ascii="仿宋_GB2312" w:hAnsi="宋体" w:eastAsia="仿宋_GB2312"/>
                <w:bCs/>
                <w:sz w:val="28"/>
                <w:szCs w:val="28"/>
                <w:vertAlign w:val="baseline"/>
                <w:lang w:eastAsia="zh-CN"/>
              </w:rPr>
              <w:t>（评委根据投标文件的严密程度和配套完整性打分）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restart"/>
            <w:vAlign w:val="center"/>
          </w:tcPr>
          <w:p>
            <w:pPr>
              <w:spacing w:line="500" w:lineRule="exact"/>
              <w:jc w:val="center"/>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培训服务能力（</w:t>
            </w:r>
            <w:r>
              <w:rPr>
                <w:rFonts w:hint="eastAsia" w:ascii="仿宋_GB2312" w:hAnsi="宋体" w:eastAsia="仿宋_GB2312"/>
                <w:bCs/>
                <w:sz w:val="28"/>
                <w:szCs w:val="28"/>
                <w:vertAlign w:val="baseline"/>
                <w:lang w:val="en-US" w:eastAsia="zh-CN"/>
              </w:rPr>
              <w:t>30%</w:t>
            </w:r>
            <w:r>
              <w:rPr>
                <w:rFonts w:hint="eastAsia" w:ascii="仿宋_GB2312" w:hAnsi="宋体" w:eastAsia="仿宋_GB2312"/>
                <w:bCs/>
                <w:sz w:val="28"/>
                <w:szCs w:val="28"/>
                <w:vertAlign w:val="baseline"/>
                <w:lang w:eastAsia="zh-CN"/>
              </w:rPr>
              <w:t>）</w:t>
            </w: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10</w:t>
            </w:r>
          </w:p>
        </w:tc>
        <w:tc>
          <w:tcPr>
            <w:tcW w:w="6392" w:type="dxa"/>
          </w:tcPr>
          <w:p>
            <w:pPr>
              <w:spacing w:line="500" w:lineRule="exact"/>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eastAsia="zh-CN"/>
              </w:rPr>
              <w:t>制度建设：有规范的教学管理制度、安全管理制度、疫情防控制度、档案管理制度和财务管理制度（提供相关资料或证明，每提供一项得</w:t>
            </w:r>
            <w:r>
              <w:rPr>
                <w:rFonts w:hint="eastAsia" w:ascii="仿宋_GB2312" w:hAnsi="宋体" w:eastAsia="仿宋_GB2312"/>
                <w:bCs/>
                <w:sz w:val="28"/>
                <w:szCs w:val="28"/>
                <w:vertAlign w:val="baseline"/>
                <w:lang w:val="en-US" w:eastAsia="zh-CN"/>
              </w:rPr>
              <w:t>2分，最多10分，未提供得0分）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continue"/>
          </w:tcPr>
          <w:p>
            <w:pPr>
              <w:spacing w:line="500" w:lineRule="exact"/>
              <w:rPr>
                <w:rFonts w:hint="eastAsia" w:ascii="仿宋_GB2312" w:hAnsi="宋体" w:eastAsia="仿宋_GB2312"/>
                <w:bCs/>
                <w:sz w:val="28"/>
                <w:szCs w:val="28"/>
                <w:vertAlign w:val="baseline"/>
              </w:rPr>
            </w:pP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10</w:t>
            </w:r>
          </w:p>
        </w:tc>
        <w:tc>
          <w:tcPr>
            <w:tcW w:w="6392" w:type="dxa"/>
          </w:tcPr>
          <w:p>
            <w:pPr>
              <w:spacing w:line="500" w:lineRule="exact"/>
              <w:rPr>
                <w:rFonts w:hint="eastAsia"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eastAsia="zh-CN"/>
              </w:rPr>
              <w:t>培训组织实施方案：提供完善的实施方案和培训质量保障体系，招生组织计划，教学培训大纲。（评委根据投标文件的严密程度和配套完整性打分）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continue"/>
          </w:tcPr>
          <w:p>
            <w:pPr>
              <w:spacing w:line="500" w:lineRule="exact"/>
              <w:rPr>
                <w:rFonts w:hint="eastAsia" w:ascii="仿宋_GB2312" w:hAnsi="宋体" w:eastAsia="仿宋_GB2312"/>
                <w:bCs/>
                <w:sz w:val="28"/>
                <w:szCs w:val="28"/>
                <w:vertAlign w:val="baseline"/>
              </w:rPr>
            </w:pP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10</w:t>
            </w:r>
          </w:p>
        </w:tc>
        <w:tc>
          <w:tcPr>
            <w:tcW w:w="6392" w:type="dxa"/>
          </w:tcPr>
          <w:p>
            <w:pPr>
              <w:spacing w:line="500" w:lineRule="exact"/>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生源组织能力：提供多渠道多体系的招生组织实施方案。（评委根据投标文件的严密程度和配套完整性打分）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restart"/>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eastAsia="zh-CN"/>
              </w:rPr>
              <w:t>就业服务能力（</w:t>
            </w:r>
            <w:r>
              <w:rPr>
                <w:rFonts w:hint="eastAsia" w:ascii="仿宋_GB2312" w:hAnsi="宋体" w:eastAsia="仿宋_GB2312"/>
                <w:bCs/>
                <w:sz w:val="28"/>
                <w:szCs w:val="28"/>
                <w:vertAlign w:val="baseline"/>
                <w:lang w:val="en-US" w:eastAsia="zh-CN"/>
              </w:rPr>
              <w:t>30%）</w:t>
            </w: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10</w:t>
            </w:r>
          </w:p>
        </w:tc>
        <w:tc>
          <w:tcPr>
            <w:tcW w:w="6392" w:type="dxa"/>
          </w:tcPr>
          <w:p>
            <w:pPr>
              <w:spacing w:line="500" w:lineRule="exact"/>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eastAsia="zh-CN"/>
              </w:rPr>
              <w:t>就业服务平台：提供线上线下就业服务平台建设方案（评委根据投标文件的严密程度和配套完整性打分）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continue"/>
            <w:vAlign w:val="center"/>
          </w:tcPr>
          <w:p>
            <w:pPr>
              <w:spacing w:line="500" w:lineRule="exact"/>
              <w:jc w:val="center"/>
              <w:rPr>
                <w:rFonts w:hint="eastAsia" w:ascii="仿宋_GB2312" w:hAnsi="宋体" w:eastAsia="仿宋_GB2312"/>
                <w:bCs/>
                <w:sz w:val="28"/>
                <w:szCs w:val="28"/>
                <w:vertAlign w:val="baseline"/>
                <w:lang w:eastAsia="zh-CN"/>
              </w:rPr>
            </w:pP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20</w:t>
            </w:r>
          </w:p>
        </w:tc>
        <w:tc>
          <w:tcPr>
            <w:tcW w:w="6392" w:type="dxa"/>
          </w:tcPr>
          <w:p>
            <w:pPr>
              <w:spacing w:line="500" w:lineRule="exact"/>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就业服务能力：提供完善的线上线下后期跟踪服务方案（评委根据投标文件的严密程度和配套完整性打分）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restart"/>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eastAsia="zh-CN"/>
              </w:rPr>
              <w:t>创业服务能力（</w:t>
            </w:r>
            <w:r>
              <w:rPr>
                <w:rFonts w:hint="eastAsia" w:ascii="仿宋_GB2312" w:hAnsi="宋体" w:eastAsia="仿宋_GB2312"/>
                <w:bCs/>
                <w:sz w:val="28"/>
                <w:szCs w:val="28"/>
                <w:vertAlign w:val="baseline"/>
                <w:lang w:val="en-US" w:eastAsia="zh-CN"/>
              </w:rPr>
              <w:t>30%）</w:t>
            </w: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10</w:t>
            </w:r>
          </w:p>
        </w:tc>
        <w:tc>
          <w:tcPr>
            <w:tcW w:w="6392" w:type="dxa"/>
          </w:tcPr>
          <w:p>
            <w:pPr>
              <w:spacing w:line="500" w:lineRule="exact"/>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创业服务平台：提供创业服务平台建设方案（评委根据投标文件的严密程度和配套完整性打分）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2" w:type="dxa"/>
            <w:vMerge w:val="continue"/>
            <w:vAlign w:val="center"/>
          </w:tcPr>
          <w:p>
            <w:pPr>
              <w:spacing w:line="500" w:lineRule="exact"/>
              <w:jc w:val="center"/>
              <w:rPr>
                <w:rFonts w:hint="eastAsia" w:ascii="仿宋_GB2312" w:hAnsi="宋体" w:eastAsia="仿宋_GB2312"/>
                <w:bCs/>
                <w:sz w:val="28"/>
                <w:szCs w:val="28"/>
                <w:vertAlign w:val="baseline"/>
              </w:rPr>
            </w:pPr>
          </w:p>
        </w:tc>
        <w:tc>
          <w:tcPr>
            <w:tcW w:w="788" w:type="dxa"/>
            <w:vAlign w:val="center"/>
          </w:tcPr>
          <w:p>
            <w:pPr>
              <w:spacing w:line="500" w:lineRule="exact"/>
              <w:jc w:val="center"/>
              <w:rPr>
                <w:rFonts w:hint="default" w:ascii="仿宋_GB2312" w:hAnsi="宋体" w:eastAsia="仿宋_GB2312"/>
                <w:bCs/>
                <w:sz w:val="28"/>
                <w:szCs w:val="28"/>
                <w:vertAlign w:val="baseline"/>
                <w:lang w:val="en-US" w:eastAsia="zh-CN"/>
              </w:rPr>
            </w:pPr>
            <w:r>
              <w:rPr>
                <w:rFonts w:hint="eastAsia" w:ascii="仿宋_GB2312" w:hAnsi="宋体" w:eastAsia="仿宋_GB2312"/>
                <w:bCs/>
                <w:sz w:val="28"/>
                <w:szCs w:val="28"/>
                <w:vertAlign w:val="baseline"/>
                <w:lang w:val="en-US" w:eastAsia="zh-CN"/>
              </w:rPr>
              <w:t>20</w:t>
            </w:r>
          </w:p>
        </w:tc>
        <w:tc>
          <w:tcPr>
            <w:tcW w:w="6392" w:type="dxa"/>
          </w:tcPr>
          <w:p>
            <w:pPr>
              <w:spacing w:line="500" w:lineRule="exact"/>
              <w:rPr>
                <w:rFonts w:hint="eastAsia" w:ascii="仿宋_GB2312" w:hAnsi="宋体" w:eastAsia="仿宋_GB2312"/>
                <w:bCs/>
                <w:sz w:val="28"/>
                <w:szCs w:val="28"/>
                <w:vertAlign w:val="baseline"/>
                <w:lang w:eastAsia="zh-CN"/>
              </w:rPr>
            </w:pPr>
            <w:r>
              <w:rPr>
                <w:rFonts w:hint="eastAsia" w:ascii="仿宋_GB2312" w:hAnsi="宋体" w:eastAsia="仿宋_GB2312"/>
                <w:bCs/>
                <w:sz w:val="28"/>
                <w:szCs w:val="28"/>
                <w:vertAlign w:val="baseline"/>
                <w:lang w:eastAsia="zh-CN"/>
              </w:rPr>
              <w:t>创业服务能力：提供完善的后期跟踪服务方案（评委根据投标文件的严密程度和配套完整性打分）</w:t>
            </w:r>
          </w:p>
        </w:tc>
      </w:tr>
    </w:tbl>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三、招标范围</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（一）定义：本招标文件使用的下列词语有如下规定意义：</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1．“学院”指</w:t>
      </w:r>
      <w:r>
        <w:rPr>
          <w:rFonts w:hint="eastAsia" w:ascii="仿宋_GB2312" w:hAnsi="宋体" w:eastAsia="仿宋_GB2312"/>
          <w:bCs/>
          <w:sz w:val="28"/>
          <w:szCs w:val="28"/>
          <w:lang w:eastAsia="zh-CN"/>
        </w:rPr>
        <w:t>重庆市万州高级技工学校</w:t>
      </w:r>
      <w:r>
        <w:rPr>
          <w:rFonts w:hint="eastAsia" w:ascii="仿宋_GB2312" w:hAnsi="宋体" w:eastAsia="仿宋_GB2312"/>
          <w:bCs/>
          <w:sz w:val="28"/>
          <w:szCs w:val="28"/>
        </w:rPr>
        <w:t>；</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2．“投标人”指参加本次招标活动的企业；</w:t>
      </w:r>
    </w:p>
    <w:p>
      <w:pPr>
        <w:spacing w:line="500" w:lineRule="exact"/>
        <w:ind w:firstLine="560" w:firstLineChars="200"/>
        <w:rPr>
          <w:rFonts w:hint="eastAsia" w:ascii="仿宋_GB2312" w:hAnsi="宋体" w:eastAsia="仿宋_GB2312"/>
          <w:bCs/>
          <w:sz w:val="28"/>
          <w:szCs w:val="28"/>
          <w:lang w:eastAsia="zh-CN"/>
        </w:rPr>
      </w:pPr>
      <w:r>
        <w:rPr>
          <w:rFonts w:hint="eastAsia" w:ascii="仿宋_GB2312" w:hAnsi="宋体" w:eastAsia="仿宋_GB2312"/>
          <w:bCs/>
          <w:sz w:val="28"/>
          <w:szCs w:val="28"/>
        </w:rPr>
        <w:t>3．“招标文件”指由学院发出的本文件，包括全部章节和附件</w:t>
      </w:r>
      <w:r>
        <w:rPr>
          <w:rFonts w:hint="eastAsia" w:ascii="仿宋_GB2312" w:hAnsi="宋体" w:eastAsia="仿宋_GB2312"/>
          <w:bCs/>
          <w:sz w:val="28"/>
          <w:szCs w:val="28"/>
          <w:lang w:eastAsia="zh-CN"/>
        </w:rPr>
        <w:t>。</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（二）招标方式：本项目采用综合评分法的方式确定中标人。</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（三）招标说明：</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1.投标人提交的投标文件应至少包括以下部分：</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（1）投标书。</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（2）法定代表人证明书和法定代表人授权书（法定代表人亲自签署所有投标文件的，可不提交法定代表人授权书）。</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（3）投标人资格文件。</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w:t>
      </w:r>
      <w:r>
        <w:rPr>
          <w:rFonts w:hint="eastAsia" w:ascii="仿宋_GB2312" w:hAnsi="宋体" w:eastAsia="仿宋_GB2312"/>
          <w:bCs/>
          <w:sz w:val="28"/>
          <w:szCs w:val="28"/>
          <w:lang w:val="en-US" w:eastAsia="zh-CN"/>
        </w:rPr>
        <w:t>4</w:t>
      </w:r>
      <w:r>
        <w:rPr>
          <w:rFonts w:hint="eastAsia" w:ascii="仿宋_GB2312" w:hAnsi="宋体" w:eastAsia="仿宋_GB2312"/>
          <w:bCs/>
          <w:sz w:val="28"/>
          <w:szCs w:val="28"/>
        </w:rPr>
        <w:t>）承诺书。</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上述文件、表格和资料等为投标人必须提交的资料，各报价单位可以根据实际情况增加内容，但不得擅自减少有关内容。</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2．投标文件必须有封面及密封，并加盖单位公章及法人代表印鉴。投标文件包括正本一本，副本四本，共五本。</w:t>
      </w:r>
    </w:p>
    <w:p>
      <w:pPr>
        <w:keepNext w:val="0"/>
        <w:keepLines w:val="0"/>
        <w:pageBreakBefore/>
        <w:widowControl w:val="0"/>
        <w:kinsoku/>
        <w:wordWrap/>
        <w:overflowPunct/>
        <w:topLinePunct w:val="0"/>
        <w:autoSpaceDE/>
        <w:autoSpaceDN/>
        <w:bidi w:val="0"/>
        <w:adjustRightInd/>
        <w:snapToGrid/>
        <w:spacing w:line="460" w:lineRule="exact"/>
        <w:jc w:val="center"/>
        <w:textAlignment w:val="auto"/>
        <w:rPr>
          <w:rFonts w:ascii="仿宋" w:hAnsi="仿宋" w:eastAsia="仿宋" w:cs="仿宋"/>
          <w:b/>
          <w:sz w:val="28"/>
          <w:szCs w:val="28"/>
        </w:rPr>
      </w:pPr>
      <w:r>
        <w:rPr>
          <w:rFonts w:hint="eastAsia" w:ascii="仿宋" w:hAnsi="仿宋" w:eastAsia="仿宋" w:cs="仿宋"/>
          <w:b/>
          <w:sz w:val="28"/>
          <w:szCs w:val="28"/>
        </w:rPr>
        <w:t>第</w:t>
      </w:r>
      <w:r>
        <w:rPr>
          <w:rFonts w:hint="eastAsia" w:ascii="仿宋" w:hAnsi="仿宋" w:eastAsia="仿宋" w:cs="仿宋"/>
          <w:b/>
          <w:sz w:val="28"/>
          <w:szCs w:val="28"/>
          <w:lang w:eastAsia="zh-CN"/>
        </w:rPr>
        <w:t>三</w:t>
      </w:r>
      <w:r>
        <w:rPr>
          <w:rFonts w:hint="eastAsia" w:ascii="仿宋" w:hAnsi="仿宋" w:eastAsia="仿宋" w:cs="仿宋"/>
          <w:b/>
          <w:sz w:val="28"/>
          <w:szCs w:val="28"/>
        </w:rPr>
        <w:t>章</w:t>
      </w:r>
      <w:r>
        <w:rPr>
          <w:rFonts w:hint="eastAsia" w:ascii="仿宋" w:hAnsi="仿宋" w:eastAsia="仿宋" w:cs="仿宋"/>
          <w:b/>
          <w:sz w:val="28"/>
          <w:szCs w:val="28"/>
          <w:lang w:val="en-US" w:eastAsia="zh-CN"/>
        </w:rPr>
        <w:t xml:space="preserve"> </w:t>
      </w:r>
      <w:r>
        <w:rPr>
          <w:rFonts w:hint="eastAsia" w:ascii="仿宋" w:hAnsi="仿宋" w:eastAsia="仿宋" w:cs="仿宋"/>
          <w:b/>
          <w:sz w:val="28"/>
          <w:szCs w:val="28"/>
        </w:rPr>
        <w:t>竞选文件格式</w:t>
      </w:r>
    </w:p>
    <w:p>
      <w:pPr>
        <w:pageBreakBefore w:val="0"/>
        <w:tabs>
          <w:tab w:val="left" w:pos="540"/>
        </w:tabs>
        <w:kinsoku/>
        <w:overflowPunct/>
        <w:topLinePunct w:val="0"/>
        <w:bidi w:val="0"/>
        <w:spacing w:line="460" w:lineRule="exact"/>
        <w:ind w:firstLine="560"/>
        <w:textAlignment w:val="auto"/>
        <w:rPr>
          <w:rFonts w:ascii="仿宋" w:hAnsi="仿宋" w:eastAsia="仿宋" w:cs="仿宋"/>
          <w:sz w:val="28"/>
          <w:szCs w:val="28"/>
        </w:rPr>
      </w:pP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竞选文件构成</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（一）</w:t>
      </w:r>
      <w:r>
        <w:rPr>
          <w:rFonts w:hint="eastAsia" w:ascii="仿宋" w:hAnsi="仿宋" w:eastAsia="仿宋" w:cs="仿宋"/>
          <w:sz w:val="28"/>
          <w:szCs w:val="28"/>
          <w:lang w:eastAsia="zh-CN"/>
        </w:rPr>
        <w:t>投标书</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lang w:eastAsia="zh-CN"/>
        </w:rPr>
        <w:t>（二）</w:t>
      </w:r>
      <w:r>
        <w:rPr>
          <w:rFonts w:hint="eastAsia" w:ascii="仿宋" w:hAnsi="仿宋" w:eastAsia="仿宋" w:cs="仿宋"/>
          <w:sz w:val="28"/>
          <w:szCs w:val="28"/>
        </w:rPr>
        <w:t>企业法人营业执照复印件</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法定代表人身份证和委托代理人身份证复印件</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（四）</w:t>
      </w:r>
      <w:r>
        <w:rPr>
          <w:rFonts w:hint="eastAsia" w:ascii="仿宋" w:hAnsi="仿宋" w:eastAsia="仿宋" w:cs="仿宋"/>
          <w:sz w:val="28"/>
          <w:szCs w:val="28"/>
        </w:rPr>
        <w:t>法定代表人身份证明或授权委托书</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（五）其他与项目有关的资料（自附）</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lang w:eastAsia="zh-CN"/>
        </w:rPr>
      </w:pPr>
      <w:r>
        <w:rPr>
          <w:rFonts w:hint="eastAsia" w:ascii="仿宋" w:hAnsi="仿宋" w:eastAsia="仿宋" w:cs="仿宋"/>
          <w:sz w:val="28"/>
          <w:szCs w:val="28"/>
        </w:rPr>
        <w:t>以上复印件均需加盖公章</w:t>
      </w:r>
      <w:r>
        <w:rPr>
          <w:rFonts w:hint="eastAsia" w:ascii="仿宋" w:hAnsi="仿宋" w:eastAsia="仿宋" w:cs="仿宋"/>
          <w:sz w:val="28"/>
          <w:szCs w:val="28"/>
          <w:lang w:eastAsia="zh-CN"/>
        </w:rPr>
        <w:t>鲜章。</w:t>
      </w:r>
    </w:p>
    <w:p>
      <w:pPr>
        <w:pageBreakBefore w:val="0"/>
        <w:tabs>
          <w:tab w:val="left" w:pos="540"/>
        </w:tabs>
        <w:kinsoku/>
        <w:overflowPunct/>
        <w:topLinePunct w:val="0"/>
        <w:bidi w:val="0"/>
        <w:spacing w:line="460" w:lineRule="exact"/>
        <w:ind w:firstLine="600"/>
        <w:textAlignment w:val="auto"/>
        <w:rPr>
          <w:rFonts w:ascii="仿宋" w:hAnsi="仿宋" w:eastAsia="仿宋" w:cs="仿宋"/>
          <w:b w:val="0"/>
          <w:bCs/>
          <w:sz w:val="28"/>
          <w:szCs w:val="28"/>
        </w:rPr>
      </w:pPr>
      <w:r>
        <w:rPr>
          <w:rFonts w:hint="eastAsia" w:ascii="仿宋" w:hAnsi="仿宋" w:eastAsia="仿宋" w:cs="仿宋"/>
          <w:b w:val="0"/>
          <w:bCs/>
          <w:sz w:val="28"/>
          <w:szCs w:val="28"/>
          <w:lang w:eastAsia="zh-CN"/>
        </w:rPr>
        <w:t>二、</w:t>
      </w:r>
      <w:r>
        <w:rPr>
          <w:rFonts w:hint="eastAsia" w:ascii="仿宋" w:hAnsi="仿宋" w:eastAsia="仿宋" w:cs="仿宋"/>
          <w:b w:val="0"/>
          <w:bCs/>
          <w:sz w:val="28"/>
          <w:szCs w:val="28"/>
        </w:rPr>
        <w:t>竞选文件格式要求</w:t>
      </w:r>
    </w:p>
    <w:p>
      <w:pPr>
        <w:pageBreakBefore w:val="0"/>
        <w:tabs>
          <w:tab w:val="left" w:pos="540"/>
        </w:tabs>
        <w:kinsoku/>
        <w:overflowPunct/>
        <w:topLinePunct w:val="0"/>
        <w:bidi w:val="0"/>
        <w:spacing w:line="460" w:lineRule="exact"/>
        <w:ind w:firstLine="600"/>
        <w:textAlignment w:val="auto"/>
        <w:rPr>
          <w:rFonts w:ascii="仿宋" w:hAnsi="仿宋" w:eastAsia="仿宋" w:cs="仿宋"/>
          <w:sz w:val="28"/>
          <w:szCs w:val="28"/>
        </w:rPr>
      </w:pPr>
      <w:r>
        <w:rPr>
          <w:rFonts w:hint="eastAsia" w:ascii="仿宋" w:hAnsi="仿宋" w:eastAsia="仿宋" w:cs="仿宋"/>
          <w:sz w:val="28"/>
          <w:szCs w:val="28"/>
          <w:lang w:eastAsia="zh-CN"/>
        </w:rPr>
        <w:t>（一）</w:t>
      </w:r>
      <w:r>
        <w:rPr>
          <w:rFonts w:hint="eastAsia" w:ascii="仿宋" w:hAnsi="仿宋" w:eastAsia="仿宋" w:cs="仿宋"/>
          <w:sz w:val="28"/>
          <w:szCs w:val="28"/>
        </w:rPr>
        <w:t>竞选文件按前述竞选文件构成内容顺序装订，并加装竞选文件封面和目录页，封面盖公章</w:t>
      </w:r>
      <w:r>
        <w:rPr>
          <w:rFonts w:hint="eastAsia" w:ascii="仿宋" w:hAnsi="仿宋" w:eastAsia="仿宋" w:cs="仿宋"/>
          <w:sz w:val="28"/>
          <w:szCs w:val="28"/>
          <w:lang w:eastAsia="zh-CN"/>
        </w:rPr>
        <w:t>鲜章</w:t>
      </w:r>
      <w:r>
        <w:rPr>
          <w:rFonts w:hint="eastAsia" w:ascii="仿宋" w:hAnsi="仿宋" w:eastAsia="仿宋" w:cs="仿宋"/>
          <w:sz w:val="28"/>
          <w:szCs w:val="28"/>
        </w:rPr>
        <w:t>。</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竞选文件每页盖鲜章</w:t>
      </w:r>
      <w:r>
        <w:rPr>
          <w:rFonts w:hint="eastAsia" w:ascii="仿宋" w:hAnsi="仿宋" w:eastAsia="仿宋" w:cs="仿宋"/>
          <w:sz w:val="28"/>
          <w:szCs w:val="28"/>
          <w:lang w:eastAsia="zh-CN"/>
        </w:rPr>
        <w:t>。</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sz w:val="28"/>
          <w:szCs w:val="28"/>
        </w:rPr>
      </w:pPr>
      <w:r>
        <w:rPr>
          <w:rFonts w:hint="eastAsia" w:ascii="仿宋" w:hAnsi="仿宋" w:eastAsia="仿宋" w:cs="仿宋"/>
          <w:sz w:val="28"/>
          <w:szCs w:val="28"/>
          <w:lang w:eastAsia="zh-CN"/>
        </w:rPr>
        <w:t>（三）</w:t>
      </w:r>
      <w:r>
        <w:rPr>
          <w:rFonts w:hint="eastAsia" w:ascii="仿宋" w:hAnsi="仿宋" w:eastAsia="仿宋" w:cs="仿宋"/>
          <w:sz w:val="28"/>
          <w:szCs w:val="28"/>
        </w:rPr>
        <w:t>竞选文件应装入牛皮纸文件袋，并进行密封。并签字、盖公章。</w:t>
      </w:r>
    </w:p>
    <w:p>
      <w:pPr>
        <w:pageBreakBefore w:val="0"/>
        <w:tabs>
          <w:tab w:val="left" w:pos="540"/>
        </w:tabs>
        <w:kinsoku/>
        <w:overflowPunct/>
        <w:topLinePunct w:val="0"/>
        <w:bidi w:val="0"/>
        <w:spacing w:line="460" w:lineRule="exact"/>
        <w:ind w:firstLine="600"/>
        <w:textAlignment w:val="auto"/>
        <w:rPr>
          <w:rFonts w:hint="eastAsia" w:ascii="仿宋" w:hAnsi="仿宋" w:eastAsia="仿宋" w:cs="仿宋"/>
          <w:b/>
          <w:sz w:val="28"/>
          <w:szCs w:val="28"/>
        </w:rPr>
      </w:pPr>
      <w:r>
        <w:rPr>
          <w:rFonts w:hint="eastAsia" w:ascii="仿宋" w:hAnsi="仿宋" w:eastAsia="仿宋" w:cs="仿宋"/>
          <w:sz w:val="28"/>
          <w:szCs w:val="28"/>
          <w:lang w:eastAsia="zh-CN"/>
        </w:rPr>
        <w:t>三、</w:t>
      </w:r>
      <w:r>
        <w:rPr>
          <w:rFonts w:hint="eastAsia" w:ascii="仿宋" w:hAnsi="仿宋" w:eastAsia="仿宋" w:cs="仿宋"/>
          <w:b/>
          <w:sz w:val="28"/>
          <w:szCs w:val="28"/>
        </w:rPr>
        <w:t>竞选文件格式样本</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28"/>
          <w:szCs w:val="28"/>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460" w:lineRule="exact"/>
        <w:jc w:val="center"/>
        <w:textAlignment w:val="auto"/>
        <w:rPr>
          <w:rFonts w:hint="eastAsia" w:ascii="方正小标宋_GBK" w:hAnsi="方正小标宋_GBK" w:eastAsia="方正小标宋_GBK" w:cs="方正小标宋_GBK"/>
          <w:b w:val="0"/>
          <w:bCs w:val="0"/>
          <w:w w:val="99"/>
          <w:kern w:val="0"/>
          <w:sz w:val="44"/>
          <w:szCs w:val="44"/>
          <w:lang w:val="en-US" w:eastAsia="zh-CN"/>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仿宋_GBK" w:hAnsi="方正仿宋_GBK" w:eastAsia="方正仿宋_GBK" w:cs="方正仿宋_GBK"/>
          <w:b w:val="0"/>
          <w:bCs w:val="0"/>
          <w:w w:val="99"/>
          <w:kern w:val="0"/>
          <w:sz w:val="44"/>
          <w:szCs w:val="44"/>
          <w:lang w:val="en-US" w:eastAsia="zh-CN"/>
        </w:rPr>
      </w:pPr>
      <w:r>
        <w:rPr>
          <w:rFonts w:hint="eastAsia" w:ascii="方正仿宋_GBK" w:hAnsi="方正仿宋_GBK" w:eastAsia="方正仿宋_GBK" w:cs="方正仿宋_GBK"/>
          <w:b w:val="0"/>
          <w:bCs w:val="0"/>
          <w:w w:val="99"/>
          <w:kern w:val="0"/>
          <w:sz w:val="44"/>
          <w:szCs w:val="44"/>
          <w:lang w:val="en-US" w:eastAsia="zh-CN"/>
        </w:rPr>
        <w:t>重庆市万州高级技工学校校企合作</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竞</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选</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r>
        <w:rPr>
          <w:rFonts w:hint="eastAsia" w:ascii="方正小标宋_GBK" w:hAnsi="方正小标宋_GBK" w:eastAsia="方正小标宋_GBK" w:cs="方正小标宋_GBK"/>
          <w:b w:val="0"/>
          <w:bCs/>
          <w:kern w:val="0"/>
          <w:sz w:val="44"/>
          <w:szCs w:val="44"/>
        </w:rPr>
        <w:t>文</w:t>
      </w: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kern w:val="0"/>
          <w:sz w:val="44"/>
          <w:szCs w:val="44"/>
        </w:rPr>
      </w:pPr>
    </w:p>
    <w:p>
      <w:pPr>
        <w:keepNext w:val="0"/>
        <w:keepLines w:val="0"/>
        <w:pageBreakBefore w:val="0"/>
        <w:widowControl w:val="0"/>
        <w:tabs>
          <w:tab w:val="left" w:pos="1695"/>
          <w:tab w:val="left" w:pos="3370"/>
          <w:tab w:val="left" w:pos="5555"/>
        </w:tabs>
        <w:kinsoku/>
        <w:wordWrap/>
        <w:overflowPunct/>
        <w:topLinePunct w:val="0"/>
        <w:autoSpaceDE w:val="0"/>
        <w:autoSpaceDN w:val="0"/>
        <w:bidi w:val="0"/>
        <w:adjustRightInd w:val="0"/>
        <w:snapToGrid w:val="0"/>
        <w:spacing w:line="240" w:lineRule="auto"/>
        <w:jc w:val="center"/>
        <w:textAlignment w:val="auto"/>
        <w:rPr>
          <w:rFonts w:hint="eastAsia" w:ascii="方正小标宋_GBK" w:hAnsi="方正小标宋_GBK" w:eastAsia="方正小标宋_GBK" w:cs="方正小标宋_GBK"/>
          <w:b w:val="0"/>
          <w:bCs/>
          <w:w w:val="99"/>
          <w:kern w:val="0"/>
          <w:sz w:val="44"/>
          <w:szCs w:val="44"/>
        </w:rPr>
      </w:pPr>
      <w:r>
        <w:rPr>
          <w:rFonts w:hint="eastAsia" w:ascii="方正小标宋_GBK" w:hAnsi="方正小标宋_GBK" w:eastAsia="方正小标宋_GBK" w:cs="方正小标宋_GBK"/>
          <w:b w:val="0"/>
          <w:bCs/>
          <w:kern w:val="0"/>
          <w:sz w:val="44"/>
          <w:szCs w:val="44"/>
        </w:rPr>
        <w:t>件</w:t>
      </w:r>
    </w:p>
    <w:p>
      <w:pPr>
        <w:keepNext w:val="0"/>
        <w:keepLines w:val="0"/>
        <w:pageBreakBefore w:val="0"/>
        <w:widowControl/>
        <w:kinsoku/>
        <w:wordWrap/>
        <w:overflowPunct/>
        <w:topLinePunct w:val="0"/>
        <w:bidi w:val="0"/>
        <w:adjustRightInd w:val="0"/>
        <w:snapToGrid w:val="0"/>
        <w:spacing w:after="200" w:line="460" w:lineRule="exact"/>
        <w:ind w:firstLine="984" w:firstLineChars="350"/>
        <w:textAlignment w:val="auto"/>
        <w:rPr>
          <w:rFonts w:ascii="方正仿宋_GBK" w:hAnsi="方正仿宋_GBK" w:eastAsia="方正仿宋_GBK" w:cs="方正仿宋_GBK"/>
          <w:b/>
          <w:bCs/>
          <w:kern w:val="0"/>
          <w:sz w:val="28"/>
          <w:szCs w:val="28"/>
        </w:rPr>
      </w:pPr>
    </w:p>
    <w:p>
      <w:pPr>
        <w:keepNext w:val="0"/>
        <w:keepLines w:val="0"/>
        <w:pageBreakBefore w:val="0"/>
        <w:widowControl/>
        <w:kinsoku/>
        <w:wordWrap/>
        <w:overflowPunct/>
        <w:topLinePunct w:val="0"/>
        <w:bidi w:val="0"/>
        <w:adjustRightInd w:val="0"/>
        <w:snapToGrid w:val="0"/>
        <w:spacing w:after="200" w:line="460" w:lineRule="exact"/>
        <w:ind w:firstLine="984" w:firstLineChars="350"/>
        <w:textAlignment w:val="auto"/>
        <w:rPr>
          <w:rFonts w:ascii="方正仿宋_GBK" w:hAnsi="方正仿宋_GBK" w:eastAsia="方正仿宋_GBK" w:cs="方正仿宋_GBK"/>
          <w:b/>
          <w:bCs/>
          <w:kern w:val="0"/>
          <w:sz w:val="28"/>
          <w:szCs w:val="28"/>
        </w:rPr>
      </w:pPr>
    </w:p>
    <w:p>
      <w:pPr>
        <w:keepNext w:val="0"/>
        <w:keepLines w:val="0"/>
        <w:pageBreakBefore w:val="0"/>
        <w:widowControl/>
        <w:kinsoku/>
        <w:wordWrap/>
        <w:overflowPunct/>
        <w:topLinePunct w:val="0"/>
        <w:bidi w:val="0"/>
        <w:adjustRightInd w:val="0"/>
        <w:snapToGrid w:val="0"/>
        <w:spacing w:after="200" w:line="460" w:lineRule="exact"/>
        <w:ind w:firstLine="1405" w:firstLineChars="500"/>
        <w:textAlignment w:val="auto"/>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竞选人：</w:t>
      </w:r>
      <w:r>
        <w:rPr>
          <w:rFonts w:hint="eastAsia" w:ascii="方正仿宋_GBK" w:hAnsi="方正仿宋_GBK" w:eastAsia="方正仿宋_GBK" w:cs="方正仿宋_GBK"/>
          <w:b/>
          <w:bCs/>
          <w:kern w:val="0"/>
          <w:sz w:val="28"/>
          <w:szCs w:val="28"/>
          <w:u w:val="single"/>
          <w:lang w:val="en-US" w:eastAsia="zh-CN"/>
        </w:rPr>
        <w:t xml:space="preserve">                         </w:t>
      </w:r>
      <w:r>
        <w:rPr>
          <w:rFonts w:hint="eastAsia" w:ascii="方正仿宋_GBK" w:hAnsi="方正仿宋_GBK" w:eastAsia="方正仿宋_GBK" w:cs="方正仿宋_GBK"/>
          <w:b/>
          <w:bCs/>
          <w:kern w:val="0"/>
          <w:sz w:val="28"/>
          <w:szCs w:val="28"/>
        </w:rPr>
        <w:t>（盖单位章）</w:t>
      </w:r>
    </w:p>
    <w:p>
      <w:pPr>
        <w:keepNext w:val="0"/>
        <w:keepLines w:val="0"/>
        <w:pageBreakBefore w:val="0"/>
        <w:widowControl/>
        <w:kinsoku/>
        <w:wordWrap/>
        <w:overflowPunct/>
        <w:topLinePunct w:val="0"/>
        <w:bidi w:val="0"/>
        <w:adjustRightInd w:val="0"/>
        <w:snapToGrid w:val="0"/>
        <w:spacing w:after="200" w:line="460" w:lineRule="exact"/>
        <w:jc w:val="center"/>
        <w:textAlignment w:val="auto"/>
        <w:rPr>
          <w:rFonts w:hint="eastAsia" w:ascii="方正仿宋_GBK" w:hAnsi="方正仿宋_GBK" w:eastAsia="方正仿宋_GBK" w:cs="方正仿宋_GBK"/>
          <w:b/>
          <w:bCs/>
          <w:kern w:val="0"/>
          <w:sz w:val="28"/>
          <w:szCs w:val="28"/>
        </w:rPr>
      </w:pPr>
    </w:p>
    <w:p>
      <w:pPr>
        <w:keepNext w:val="0"/>
        <w:keepLines w:val="0"/>
        <w:pageBreakBefore w:val="0"/>
        <w:widowControl/>
        <w:kinsoku/>
        <w:wordWrap/>
        <w:overflowPunct/>
        <w:topLinePunct w:val="0"/>
        <w:bidi w:val="0"/>
        <w:adjustRightInd w:val="0"/>
        <w:snapToGrid w:val="0"/>
        <w:spacing w:after="200" w:line="460" w:lineRule="exact"/>
        <w:jc w:val="center"/>
        <w:textAlignment w:val="auto"/>
        <w:rPr>
          <w:rFonts w:hint="eastAsia" w:ascii="方正仿宋_GBK" w:hAnsi="方正仿宋_GBK" w:eastAsia="方正仿宋_GBK" w:cs="方正仿宋_GBK"/>
          <w:b/>
          <w:bCs/>
          <w:kern w:val="0"/>
          <w:sz w:val="28"/>
          <w:szCs w:val="28"/>
        </w:rPr>
      </w:pPr>
    </w:p>
    <w:p>
      <w:pPr>
        <w:keepNext w:val="0"/>
        <w:keepLines w:val="0"/>
        <w:pageBreakBefore w:val="0"/>
        <w:widowControl/>
        <w:kinsoku/>
        <w:wordWrap/>
        <w:overflowPunct/>
        <w:topLinePunct w:val="0"/>
        <w:bidi w:val="0"/>
        <w:adjustRightInd w:val="0"/>
        <w:snapToGrid w:val="0"/>
        <w:spacing w:after="200" w:line="460" w:lineRule="exact"/>
        <w:ind w:firstLine="1405" w:firstLineChars="500"/>
        <w:jc w:val="left"/>
        <w:textAlignment w:val="auto"/>
        <w:rPr>
          <w:rFonts w:hint="default" w:ascii="方正仿宋_GBK" w:hAnsi="方正仿宋_GBK" w:eastAsia="方正仿宋_GBK" w:cs="方正仿宋_GBK"/>
          <w:b/>
          <w:bCs/>
          <w:kern w:val="0"/>
          <w:sz w:val="28"/>
          <w:szCs w:val="28"/>
          <w:lang w:val="en-US" w:eastAsia="zh-CN"/>
        </w:rPr>
      </w:pPr>
      <w:r>
        <w:rPr>
          <w:rFonts w:hint="eastAsia" w:ascii="方正仿宋_GBK" w:hAnsi="方正仿宋_GBK" w:eastAsia="方正仿宋_GBK" w:cs="方正仿宋_GBK"/>
          <w:b/>
          <w:bCs/>
          <w:kern w:val="0"/>
          <w:sz w:val="28"/>
          <w:szCs w:val="28"/>
          <w:lang w:eastAsia="zh-CN"/>
        </w:rPr>
        <w:t>竞选单位：</w:t>
      </w:r>
      <w:r>
        <w:rPr>
          <w:rFonts w:hint="eastAsia" w:ascii="方正仿宋_GBK" w:hAnsi="方正仿宋_GBK" w:eastAsia="方正仿宋_GBK" w:cs="方正仿宋_GBK"/>
          <w:b/>
          <w:bCs/>
          <w:kern w:val="0"/>
          <w:sz w:val="28"/>
          <w:szCs w:val="28"/>
          <w:lang w:val="en-US" w:eastAsia="zh-CN"/>
        </w:rPr>
        <w:t xml:space="preserve"> </w:t>
      </w:r>
    </w:p>
    <w:p>
      <w:pPr>
        <w:keepNext w:val="0"/>
        <w:keepLines w:val="0"/>
        <w:pageBreakBefore w:val="0"/>
        <w:widowControl/>
        <w:kinsoku/>
        <w:wordWrap/>
        <w:overflowPunct/>
        <w:topLinePunct w:val="0"/>
        <w:bidi w:val="0"/>
        <w:adjustRightInd w:val="0"/>
        <w:snapToGrid w:val="0"/>
        <w:spacing w:after="200" w:line="460" w:lineRule="exact"/>
        <w:jc w:val="center"/>
        <w:textAlignment w:val="auto"/>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b/>
          <w:bCs/>
          <w:kern w:val="0"/>
          <w:sz w:val="28"/>
          <w:szCs w:val="28"/>
        </w:rPr>
        <w:t>20</w:t>
      </w:r>
      <w:r>
        <w:rPr>
          <w:rFonts w:hint="eastAsia" w:ascii="方正仿宋_GBK" w:hAnsi="方正仿宋_GBK" w:eastAsia="方正仿宋_GBK" w:cs="方正仿宋_GBK"/>
          <w:b/>
          <w:bCs/>
          <w:kern w:val="0"/>
          <w:sz w:val="28"/>
          <w:szCs w:val="28"/>
          <w:lang w:val="en-US" w:eastAsia="zh-CN"/>
        </w:rPr>
        <w:t>21</w:t>
      </w:r>
      <w:r>
        <w:rPr>
          <w:rFonts w:hint="eastAsia" w:ascii="方正仿宋_GBK" w:hAnsi="方正仿宋_GBK" w:eastAsia="方正仿宋_GBK" w:cs="方正仿宋_GBK"/>
          <w:b/>
          <w:bCs/>
          <w:kern w:val="0"/>
          <w:sz w:val="28"/>
          <w:szCs w:val="28"/>
        </w:rPr>
        <w:t>年</w:t>
      </w:r>
      <w:r>
        <w:rPr>
          <w:rFonts w:hint="eastAsia" w:ascii="方正仿宋_GBK" w:hAnsi="方正仿宋_GBK" w:eastAsia="方正仿宋_GBK" w:cs="方正仿宋_GBK"/>
          <w:b/>
          <w:bCs/>
          <w:kern w:val="0"/>
          <w:sz w:val="28"/>
          <w:szCs w:val="28"/>
          <w:lang w:val="en-US" w:eastAsia="zh-CN"/>
        </w:rPr>
        <w:t xml:space="preserve">   </w:t>
      </w:r>
      <w:r>
        <w:rPr>
          <w:rFonts w:hint="eastAsia" w:ascii="方正仿宋_GBK" w:hAnsi="方正仿宋_GBK" w:eastAsia="方正仿宋_GBK" w:cs="方正仿宋_GBK"/>
          <w:b/>
          <w:bCs/>
          <w:kern w:val="0"/>
          <w:sz w:val="28"/>
          <w:szCs w:val="28"/>
        </w:rPr>
        <w:t>月</w:t>
      </w:r>
      <w:r>
        <w:rPr>
          <w:rFonts w:hint="eastAsia" w:ascii="方正仿宋_GBK" w:hAnsi="方正仿宋_GBK" w:eastAsia="方正仿宋_GBK" w:cs="方正仿宋_GBK"/>
          <w:b/>
          <w:bCs/>
          <w:kern w:val="0"/>
          <w:sz w:val="28"/>
          <w:szCs w:val="28"/>
          <w:lang w:val="en-US" w:eastAsia="zh-CN"/>
        </w:rPr>
        <w:t xml:space="preserve">  </w:t>
      </w:r>
      <w:r>
        <w:rPr>
          <w:rFonts w:hint="eastAsia" w:ascii="方正仿宋_GBK" w:hAnsi="方正仿宋_GBK" w:eastAsia="方正仿宋_GBK" w:cs="方正仿宋_GBK"/>
          <w:b/>
          <w:bCs/>
          <w:kern w:val="0"/>
          <w:sz w:val="28"/>
          <w:szCs w:val="28"/>
        </w:rPr>
        <w:t>日</w:t>
      </w: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Style w:val="2"/>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lang w:eastAsia="zh-CN"/>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lang w:eastAsia="zh-CN"/>
        </w:rPr>
      </w:pPr>
      <w:r>
        <w:rPr>
          <w:rFonts w:hint="eastAsia" w:ascii="方正仿宋_GBK" w:hAnsi="方正仿宋_GBK" w:eastAsia="方正仿宋_GBK" w:cs="方正仿宋_GBK"/>
          <w:b/>
          <w:bCs/>
          <w:sz w:val="28"/>
          <w:szCs w:val="28"/>
          <w:lang w:eastAsia="zh-CN"/>
        </w:rPr>
        <w:t>投标书</w:t>
      </w: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hint="eastAsia"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w:t>
      </w:r>
    </w:p>
    <w:p>
      <w:pPr>
        <w:pageBreakBefore w:val="0"/>
        <w:tabs>
          <w:tab w:val="left" w:pos="0"/>
        </w:tabs>
        <w:kinsoku/>
        <w:wordWrap w:val="0"/>
        <w:overflowPunct/>
        <w:topLinePunct w:val="0"/>
        <w:bidi w:val="0"/>
        <w:adjustRightInd w:val="0"/>
        <w:spacing w:line="460" w:lineRule="exact"/>
        <w:ind w:firstLine="560" w:firstLineChars="200"/>
        <w:textAlignment w:val="auto"/>
        <w:rPr>
          <w:rFonts w:ascii="方正仿宋_GBK" w:hAnsi="方正仿宋_GBK" w:eastAsia="方正仿宋_GBK" w:cs="方正仿宋_GBK"/>
          <w:sz w:val="28"/>
          <w:szCs w:val="28"/>
        </w:rPr>
      </w:pPr>
    </w:p>
    <w:p>
      <w:pPr>
        <w:pageBreakBefore w:val="0"/>
        <w:tabs>
          <w:tab w:val="left" w:pos="0"/>
        </w:tabs>
        <w:kinsoku/>
        <w:wordWrap w:val="0"/>
        <w:overflowPunct/>
        <w:topLinePunct w:val="0"/>
        <w:bidi w:val="0"/>
        <w:adjustRightInd w:val="0"/>
        <w:spacing w:line="4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姓名：</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性别：</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年龄：</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职务：</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，系（竞选人名称）的法定代表人。</w:t>
      </w:r>
    </w:p>
    <w:p>
      <w:pPr>
        <w:pageBreakBefore w:val="0"/>
        <w:tabs>
          <w:tab w:val="left" w:pos="0"/>
        </w:tabs>
        <w:kinsoku/>
        <w:wordWrap w:val="0"/>
        <w:overflowPunct/>
        <w:topLinePunct w:val="0"/>
        <w:bidi w:val="0"/>
        <w:adjustRightInd w:val="0"/>
        <w:spacing w:line="460"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特此证明</w:t>
      </w:r>
      <w:r>
        <w:rPr>
          <w:rFonts w:hint="eastAsia" w:ascii="方正仿宋_GBK" w:hAnsi="方正仿宋_GBK" w:eastAsia="方正仿宋_GBK" w:cs="方正仿宋_GBK"/>
          <w:sz w:val="28"/>
          <w:szCs w:val="28"/>
          <w:lang w:eastAsia="zh-CN"/>
        </w:rPr>
        <w:t>。</w:t>
      </w:r>
    </w:p>
    <w:p>
      <w:pPr>
        <w:pageBreakBefore w:val="0"/>
        <w:tabs>
          <w:tab w:val="left" w:pos="0"/>
        </w:tabs>
        <w:kinsoku/>
        <w:wordWrap w:val="0"/>
        <w:overflowPunct/>
        <w:topLinePunct w:val="0"/>
        <w:bidi w:val="0"/>
        <w:adjustRightInd w:val="0"/>
        <w:spacing w:line="460" w:lineRule="exact"/>
        <w:ind w:firstLine="560" w:firstLineChars="200"/>
        <w:textAlignment w:val="auto"/>
        <w:rPr>
          <w:rFonts w:ascii="方正仿宋_GBK" w:hAnsi="方正仿宋_GBK" w:eastAsia="方正仿宋_GBK" w:cs="方正仿宋_GBK"/>
          <w:sz w:val="28"/>
          <w:szCs w:val="28"/>
        </w:rPr>
      </w:pPr>
    </w:p>
    <w:p>
      <w:pPr>
        <w:pageBreakBefore w:val="0"/>
        <w:tabs>
          <w:tab w:val="left" w:pos="0"/>
        </w:tabs>
        <w:kinsoku/>
        <w:overflowPunct/>
        <w:topLinePunct w:val="0"/>
        <w:bidi w:val="0"/>
        <w:adjustRightInd w:val="0"/>
        <w:spacing w:line="460" w:lineRule="exact"/>
        <w:ind w:firstLine="3640" w:firstLineChars="13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竞选人：（单位盖章）</w:t>
      </w:r>
    </w:p>
    <w:p>
      <w:pPr>
        <w:pageBreakBefore w:val="0"/>
        <w:tabs>
          <w:tab w:val="left" w:pos="0"/>
        </w:tabs>
        <w:kinsoku/>
        <w:overflowPunct/>
        <w:topLinePunct w:val="0"/>
        <w:bidi w:val="0"/>
        <w:adjustRightInd w:val="0"/>
        <w:spacing w:line="460" w:lineRule="exact"/>
        <w:ind w:firstLine="600"/>
        <w:textAlignment w:val="auto"/>
        <w:rPr>
          <w:rFonts w:ascii="方正仿宋_GBK" w:hAnsi="方正仿宋_GBK" w:eastAsia="方正仿宋_GBK" w:cs="方正仿宋_GBK"/>
          <w:sz w:val="28"/>
          <w:szCs w:val="28"/>
        </w:rPr>
      </w:pPr>
    </w:p>
    <w:p>
      <w:pPr>
        <w:pageBreakBefore w:val="0"/>
        <w:tabs>
          <w:tab w:val="left" w:pos="0"/>
        </w:tabs>
        <w:kinsoku/>
        <w:overflowPunct/>
        <w:topLinePunct w:val="0"/>
        <w:bidi w:val="0"/>
        <w:adjustRightInd w:val="0"/>
        <w:spacing w:line="460" w:lineRule="exact"/>
        <w:ind w:firstLine="600"/>
        <w:jc w:val="righ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pageBreakBefore w:val="0"/>
        <w:tabs>
          <w:tab w:val="left" w:pos="0"/>
        </w:tabs>
        <w:kinsoku/>
        <w:overflowPunct/>
        <w:topLinePunct w:val="0"/>
        <w:bidi w:val="0"/>
        <w:adjustRightInd w:val="0"/>
        <w:spacing w:line="460" w:lineRule="exact"/>
        <w:ind w:firstLine="560" w:firstLineChars="200"/>
        <w:textAlignment w:val="auto"/>
        <w:rPr>
          <w:rFonts w:hint="eastAsia" w:ascii="方正仿宋_GBK" w:hAnsi="方正仿宋_GBK" w:eastAsia="方正仿宋_GBK" w:cs="方正仿宋_GBK"/>
          <w:sz w:val="28"/>
          <w:szCs w:val="28"/>
        </w:rPr>
      </w:pPr>
    </w:p>
    <w:p>
      <w:pPr>
        <w:pageBreakBefore w:val="0"/>
        <w:tabs>
          <w:tab w:val="left" w:pos="0"/>
        </w:tabs>
        <w:kinsoku/>
        <w:overflowPunct/>
        <w:topLinePunct w:val="0"/>
        <w:bidi w:val="0"/>
        <w:adjustRightInd w:val="0"/>
        <w:spacing w:line="460" w:lineRule="exact"/>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备注：法定代表人身份证正反两面复印于本页下方空白处。</w:t>
      </w: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rPr>
      </w:pPr>
    </w:p>
    <w:p>
      <w:pPr>
        <w:pStyle w:val="12"/>
        <w:pageBreakBefore w:val="0"/>
        <w:kinsoku/>
        <w:overflowPunct/>
        <w:topLinePunct w:val="0"/>
        <w:bidi w:val="0"/>
        <w:spacing w:line="460" w:lineRule="exac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法定代表人</w:t>
      </w:r>
      <w:r>
        <w:rPr>
          <w:rFonts w:hint="eastAsia" w:ascii="方正仿宋_GBK" w:hAnsi="方正仿宋_GBK" w:eastAsia="方正仿宋_GBK" w:cs="方正仿宋_GBK"/>
          <w:sz w:val="28"/>
          <w:szCs w:val="28"/>
        </w:rPr>
        <w:t>授权委托书</w:t>
      </w:r>
    </w:p>
    <w:p>
      <w:pPr>
        <w:pageBreakBefore w:val="0"/>
        <w:kinsoku/>
        <w:overflowPunct/>
        <w:topLinePunct w:val="0"/>
        <w:bidi w:val="0"/>
        <w:spacing w:line="460" w:lineRule="exact"/>
        <w:textAlignment w:val="auto"/>
        <w:rPr>
          <w:rFonts w:hint="eastAsia" w:ascii="方正仿宋_GBK" w:hAnsi="方正仿宋_GBK" w:eastAsia="方正仿宋_GBK" w:cs="方正仿宋_GBK"/>
          <w:sz w:val="28"/>
          <w:szCs w:val="28"/>
          <w:u w:val="single"/>
          <w:lang w:val="en-US" w:eastAsia="zh-CN"/>
        </w:rPr>
      </w:pPr>
    </w:p>
    <w:p>
      <w:pPr>
        <w:pageBreakBefore w:val="0"/>
        <w:kinsoku/>
        <w:overflowPunct/>
        <w:topLinePunct w:val="0"/>
        <w:bidi w:val="0"/>
        <w:spacing w:line="46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（姓名）</w:t>
      </w:r>
      <w:r>
        <w:rPr>
          <w:rFonts w:hint="eastAsia" w:ascii="方正仿宋_GBK" w:hAnsi="方正仿宋_GBK" w:eastAsia="方正仿宋_GBK" w:cs="方正仿宋_GBK"/>
          <w:sz w:val="28"/>
          <w:szCs w:val="28"/>
          <w:lang w:eastAsia="zh-CN"/>
        </w:rPr>
        <w:t>是</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none"/>
          <w:lang w:val="en-US" w:eastAsia="zh-CN"/>
        </w:rPr>
        <w:t>（投标人名称）的法定代表人，特授权</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u w:val="none"/>
          <w:lang w:val="en-US" w:eastAsia="zh-CN"/>
        </w:rPr>
        <w:t>（被授权人姓名）代表我单位</w:t>
      </w:r>
      <w:r>
        <w:rPr>
          <w:rFonts w:hint="eastAsia" w:ascii="方正仿宋_GBK" w:hAnsi="方正仿宋_GBK" w:eastAsia="方正仿宋_GBK" w:cs="方正仿宋_GBK"/>
          <w:sz w:val="28"/>
          <w:szCs w:val="28"/>
        </w:rPr>
        <w:t>参加比选</w:t>
      </w:r>
      <w:r>
        <w:rPr>
          <w:rFonts w:hint="eastAsia" w:ascii="方正仿宋_GBK" w:hAnsi="方正仿宋_GBK" w:eastAsia="方正仿宋_GBK" w:cs="方正仿宋_GBK"/>
          <w:sz w:val="28"/>
          <w:szCs w:val="28"/>
          <w:lang w:eastAsia="zh-CN"/>
        </w:rPr>
        <w:t>，全权</w:t>
      </w:r>
      <w:r>
        <w:rPr>
          <w:rFonts w:hint="eastAsia" w:ascii="方正仿宋_GBK" w:hAnsi="方正仿宋_GBK" w:eastAsia="方正仿宋_GBK" w:cs="方正仿宋_GBK"/>
          <w:sz w:val="28"/>
          <w:szCs w:val="28"/>
        </w:rPr>
        <w:t>签署、澄清、递交、撤回竞选</w:t>
      </w:r>
      <w:r>
        <w:rPr>
          <w:rFonts w:hint="eastAsia" w:ascii="方正仿宋_GBK" w:hAnsi="方正仿宋_GBK" w:eastAsia="方正仿宋_GBK" w:cs="方正仿宋_GBK"/>
          <w:sz w:val="28"/>
          <w:szCs w:val="28"/>
          <w:lang w:eastAsia="zh-CN"/>
        </w:rPr>
        <w:t>有关</w:t>
      </w:r>
      <w:r>
        <w:rPr>
          <w:rFonts w:hint="eastAsia" w:ascii="方正仿宋_GBK" w:hAnsi="方正仿宋_GBK" w:eastAsia="方正仿宋_GBK" w:cs="方正仿宋_GBK"/>
          <w:sz w:val="28"/>
          <w:szCs w:val="28"/>
        </w:rPr>
        <w:t>文件及参加竞争性比选会。</w:t>
      </w:r>
    </w:p>
    <w:p>
      <w:pPr>
        <w:pageBreakBefore w:val="0"/>
        <w:kinsoku/>
        <w:overflowPunct/>
        <w:topLinePunct w:val="0"/>
        <w:bidi w:val="0"/>
        <w:spacing w:line="46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我单位对被授权人的签字负全部责任。</w:t>
      </w:r>
    </w:p>
    <w:p>
      <w:pPr>
        <w:pageBreakBefore w:val="0"/>
        <w:kinsoku/>
        <w:overflowPunct/>
        <w:topLinePunct w:val="0"/>
        <w:bidi w:val="0"/>
        <w:spacing w:line="460" w:lineRule="exact"/>
        <w:ind w:firstLine="560" w:firstLineChars="200"/>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在撤消授权的书面通知以前，本授权书一直有效。被授权人在授权书有效期内签署的所有文件不因授权的撤消而失效。</w:t>
      </w:r>
    </w:p>
    <w:p>
      <w:pPr>
        <w:pageBreakBefore w:val="0"/>
        <w:kinsoku/>
        <w:overflowPunct/>
        <w:topLinePunct w:val="0"/>
        <w:bidi w:val="0"/>
        <w:spacing w:line="460" w:lineRule="exact"/>
        <w:ind w:firstLine="560" w:firstLineChars="20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特此委托</w:t>
      </w:r>
      <w:r>
        <w:rPr>
          <w:rFonts w:hint="eastAsia" w:ascii="方正仿宋_GBK" w:hAnsi="方正仿宋_GBK" w:eastAsia="方正仿宋_GBK" w:cs="方正仿宋_GBK"/>
          <w:sz w:val="28"/>
          <w:szCs w:val="28"/>
          <w:lang w:eastAsia="zh-CN"/>
        </w:rPr>
        <w:t>。</w:t>
      </w:r>
    </w:p>
    <w:p>
      <w:pPr>
        <w:pageBreakBefore w:val="0"/>
        <w:kinsoku/>
        <w:overflowPunct/>
        <w:topLinePunct w:val="0"/>
        <w:bidi w:val="0"/>
        <w:spacing w:line="460" w:lineRule="exact"/>
        <w:ind w:firstLine="560" w:firstLineChars="200"/>
        <w:textAlignment w:val="auto"/>
        <w:rPr>
          <w:rFonts w:hint="eastAsia" w:ascii="方正仿宋_GBK" w:hAnsi="方正仿宋_GBK" w:eastAsia="方正仿宋_GBK" w:cs="方正仿宋_GBK"/>
          <w:sz w:val="28"/>
          <w:szCs w:val="28"/>
          <w:lang w:eastAsia="zh-CN"/>
        </w:rPr>
      </w:pPr>
    </w:p>
    <w:p>
      <w:pPr>
        <w:pageBreakBefore w:val="0"/>
        <w:tabs>
          <w:tab w:val="left" w:pos="0"/>
        </w:tabs>
        <w:kinsoku/>
        <w:overflowPunct/>
        <w:topLinePunct w:val="0"/>
        <w:bidi w:val="0"/>
        <w:adjustRightInd w:val="0"/>
        <w:snapToGrid w:val="0"/>
        <w:spacing w:line="460" w:lineRule="exact"/>
        <w:ind w:left="6616" w:leftChars="1084" w:hanging="4340" w:hangingChars="1550"/>
        <w:textAlignment w:val="auto"/>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竞选人法定代表人：</w:t>
      </w:r>
    </w:p>
    <w:p>
      <w:pPr>
        <w:pageBreakBefore w:val="0"/>
        <w:tabs>
          <w:tab w:val="left" w:pos="0"/>
        </w:tabs>
        <w:kinsoku/>
        <w:overflowPunct/>
        <w:topLinePunct w:val="0"/>
        <w:bidi w:val="0"/>
        <w:adjustRightInd w:val="0"/>
        <w:snapToGrid w:val="0"/>
        <w:spacing w:line="460" w:lineRule="exact"/>
        <w:ind w:firstLine="280" w:firstLineChars="100"/>
        <w:jc w:val="righ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（亲笔签名和盖公司公章）</w:t>
      </w:r>
    </w:p>
    <w:p>
      <w:pPr>
        <w:pageBreakBefore w:val="0"/>
        <w:tabs>
          <w:tab w:val="left" w:pos="0"/>
        </w:tabs>
        <w:kinsoku/>
        <w:overflowPunct/>
        <w:topLinePunct w:val="0"/>
        <w:bidi w:val="0"/>
        <w:adjustRightInd w:val="0"/>
        <w:snapToGrid w:val="0"/>
        <w:spacing w:line="460" w:lineRule="exact"/>
        <w:ind w:firstLine="600"/>
        <w:textAlignment w:val="auto"/>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 xml:space="preserve">            身份证号码：</w:t>
      </w:r>
    </w:p>
    <w:p>
      <w:pPr>
        <w:pageBreakBefore w:val="0"/>
        <w:tabs>
          <w:tab w:val="left" w:pos="0"/>
        </w:tabs>
        <w:kinsoku/>
        <w:overflowPunct/>
        <w:topLinePunct w:val="0"/>
        <w:bidi w:val="0"/>
        <w:adjustRightInd w:val="0"/>
        <w:snapToGrid w:val="0"/>
        <w:spacing w:line="460" w:lineRule="exact"/>
        <w:ind w:firstLine="6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委托代理人：</w:t>
      </w:r>
    </w:p>
    <w:p>
      <w:pPr>
        <w:pageBreakBefore w:val="0"/>
        <w:tabs>
          <w:tab w:val="left" w:pos="0"/>
        </w:tabs>
        <w:kinsoku/>
        <w:overflowPunct/>
        <w:topLinePunct w:val="0"/>
        <w:bidi w:val="0"/>
        <w:adjustRightInd w:val="0"/>
        <w:snapToGrid w:val="0"/>
        <w:spacing w:line="460" w:lineRule="exact"/>
        <w:ind w:firstLine="600"/>
        <w:textAlignment w:val="auto"/>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rPr>
        <w:t xml:space="preserve">            身份证号码：</w:t>
      </w:r>
    </w:p>
    <w:p>
      <w:pPr>
        <w:pageBreakBefore w:val="0"/>
        <w:tabs>
          <w:tab w:val="left" w:pos="0"/>
        </w:tabs>
        <w:kinsoku/>
        <w:overflowPunct/>
        <w:topLinePunct w:val="0"/>
        <w:bidi w:val="0"/>
        <w:adjustRightInd w:val="0"/>
        <w:snapToGrid w:val="0"/>
        <w:spacing w:line="460" w:lineRule="exact"/>
        <w:ind w:firstLine="600"/>
        <w:jc w:val="right"/>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年 月</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日</w:t>
      </w:r>
    </w:p>
    <w:p>
      <w:pPr>
        <w:pageBreakBefore w:val="0"/>
        <w:tabs>
          <w:tab w:val="left" w:pos="0"/>
        </w:tabs>
        <w:kinsoku/>
        <w:overflowPunct/>
        <w:topLinePunct w:val="0"/>
        <w:bidi w:val="0"/>
        <w:adjustRightInd w:val="0"/>
        <w:spacing w:line="460" w:lineRule="exact"/>
        <w:textAlignment w:val="auto"/>
        <w:rPr>
          <w:rFonts w:hint="eastAsia" w:ascii="方正仿宋_GBK" w:hAnsi="方正仿宋_GBK" w:eastAsia="方正仿宋_GBK" w:cs="方正仿宋_GBK"/>
          <w:sz w:val="28"/>
          <w:szCs w:val="28"/>
        </w:rPr>
      </w:pPr>
    </w:p>
    <w:p>
      <w:pPr>
        <w:pageBreakBefore w:val="0"/>
        <w:tabs>
          <w:tab w:val="left" w:pos="0"/>
        </w:tabs>
        <w:kinsoku/>
        <w:overflowPunct/>
        <w:topLinePunct w:val="0"/>
        <w:bidi w:val="0"/>
        <w:adjustRightInd w:val="0"/>
        <w:spacing w:line="460" w:lineRule="exact"/>
        <w:textAlignment w:val="auto"/>
        <w:rPr>
          <w:rFonts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备注：法定代表人身份证和委托代理人身份证正反两面复印于本页下方空白处。</w:t>
      </w:r>
    </w:p>
    <w:p>
      <w:pPr>
        <w:pageBreakBefore w:val="0"/>
        <w:tabs>
          <w:tab w:val="left" w:pos="0"/>
        </w:tabs>
        <w:kinsoku/>
        <w:overflowPunct/>
        <w:topLinePunct w:val="0"/>
        <w:bidi w:val="0"/>
        <w:adjustRightInd w:val="0"/>
        <w:spacing w:line="460" w:lineRule="exact"/>
        <w:textAlignment w:val="auto"/>
        <w:rPr>
          <w:rFonts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jc w:val="center"/>
        <w:textAlignment w:val="auto"/>
        <w:rPr>
          <w:rFonts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textAlignment w:val="auto"/>
        <w:rPr>
          <w:rFonts w:ascii="方正仿宋_GBK" w:hAnsi="方正仿宋_GBK" w:eastAsia="方正仿宋_GBK" w:cs="方正仿宋_GBK"/>
          <w:b/>
          <w:bCs/>
          <w:sz w:val="28"/>
          <w:szCs w:val="28"/>
        </w:rPr>
      </w:pPr>
    </w:p>
    <w:p>
      <w:pPr>
        <w:pageBreakBefore w:val="0"/>
        <w:tabs>
          <w:tab w:val="left" w:pos="0"/>
        </w:tabs>
        <w:kinsoku/>
        <w:overflowPunct/>
        <w:topLinePunct w:val="0"/>
        <w:bidi w:val="0"/>
        <w:adjustRightInd w:val="0"/>
        <w:spacing w:line="460" w:lineRule="exact"/>
        <w:ind w:firstLine="2249" w:firstLineChars="800"/>
        <w:textAlignment w:val="auto"/>
        <w:rPr>
          <w:rFonts w:hint="eastAsia" w:ascii="方正仿宋_GBK" w:hAnsi="方正仿宋_GBK" w:eastAsia="方正仿宋_GBK" w:cs="方正仿宋_GBK"/>
          <w:b/>
          <w:bCs/>
          <w:sz w:val="28"/>
          <w:szCs w:val="28"/>
          <w:lang w:eastAsia="zh-CN"/>
        </w:rPr>
      </w:pPr>
    </w:p>
    <w:p>
      <w:pPr>
        <w:pageBreakBefore w:val="0"/>
        <w:tabs>
          <w:tab w:val="left" w:pos="0"/>
        </w:tabs>
        <w:kinsoku/>
        <w:overflowPunct/>
        <w:topLinePunct w:val="0"/>
        <w:bidi w:val="0"/>
        <w:adjustRightInd w:val="0"/>
        <w:spacing w:line="460" w:lineRule="exact"/>
        <w:ind w:firstLine="2249" w:firstLineChars="800"/>
        <w:textAlignment w:val="auto"/>
        <w:rPr>
          <w:rFonts w:hint="eastAsia" w:ascii="方正仿宋_GBK" w:hAnsi="方正仿宋_GBK" w:eastAsia="方正仿宋_GBK" w:cs="方正仿宋_GBK"/>
          <w:b/>
          <w:bCs/>
          <w:sz w:val="28"/>
          <w:szCs w:val="28"/>
          <w:lang w:eastAsia="zh-CN"/>
        </w:rPr>
      </w:pPr>
    </w:p>
    <w:p>
      <w:pPr>
        <w:pageBreakBefore w:val="0"/>
        <w:tabs>
          <w:tab w:val="left" w:pos="0"/>
        </w:tabs>
        <w:kinsoku/>
        <w:overflowPunct/>
        <w:topLinePunct w:val="0"/>
        <w:bidi w:val="0"/>
        <w:adjustRightInd w:val="0"/>
        <w:spacing w:line="460" w:lineRule="exact"/>
        <w:ind w:firstLine="2249" w:firstLineChars="800"/>
        <w:textAlignment w:val="auto"/>
        <w:rPr>
          <w:rFonts w:hint="eastAsia" w:ascii="方正仿宋_GBK" w:hAnsi="方正仿宋_GBK" w:eastAsia="方正仿宋_GBK" w:cs="方正仿宋_GBK"/>
          <w:b/>
          <w:bCs/>
          <w:sz w:val="28"/>
          <w:szCs w:val="28"/>
          <w:lang w:eastAsia="zh-CN"/>
        </w:rPr>
      </w:pPr>
    </w:p>
    <w:p>
      <w:pPr>
        <w:pageBreakBefore w:val="0"/>
        <w:tabs>
          <w:tab w:val="left" w:pos="0"/>
        </w:tabs>
        <w:kinsoku/>
        <w:overflowPunct/>
        <w:topLinePunct w:val="0"/>
        <w:bidi w:val="0"/>
        <w:adjustRightInd w:val="0"/>
        <w:spacing w:line="460" w:lineRule="exact"/>
        <w:ind w:firstLine="2249" w:firstLineChars="800"/>
        <w:textAlignment w:val="auto"/>
        <w:rPr>
          <w:rFonts w:hint="eastAsia" w:ascii="方正仿宋_GBK" w:hAnsi="方正仿宋_GBK" w:eastAsia="方正仿宋_GBK" w:cs="方正仿宋_GBK"/>
          <w:b/>
          <w:bCs/>
          <w:sz w:val="28"/>
          <w:szCs w:val="28"/>
          <w:lang w:eastAsia="zh-CN"/>
        </w:rPr>
      </w:pPr>
    </w:p>
    <w:p>
      <w:pPr>
        <w:pageBreakBefore w:val="0"/>
        <w:tabs>
          <w:tab w:val="left" w:pos="0"/>
        </w:tabs>
        <w:kinsoku/>
        <w:overflowPunct/>
        <w:topLinePunct w:val="0"/>
        <w:bidi w:val="0"/>
        <w:adjustRightInd w:val="0"/>
        <w:spacing w:line="460" w:lineRule="exact"/>
        <w:ind w:firstLine="2249" w:firstLineChars="800"/>
        <w:textAlignment w:val="auto"/>
        <w:rPr>
          <w:rFonts w:hint="eastAsia" w:ascii="方正仿宋_GBK" w:hAnsi="方正仿宋_GBK" w:eastAsia="方正仿宋_GBK" w:cs="方正仿宋_GBK"/>
          <w:b/>
          <w:bCs/>
          <w:sz w:val="28"/>
          <w:szCs w:val="28"/>
          <w:lang w:eastAsia="zh-CN"/>
        </w:rPr>
      </w:pPr>
    </w:p>
    <w:p>
      <w:pPr>
        <w:pageBreakBefore w:val="0"/>
        <w:tabs>
          <w:tab w:val="left" w:pos="0"/>
        </w:tabs>
        <w:kinsoku/>
        <w:overflowPunct/>
        <w:topLinePunct w:val="0"/>
        <w:bidi w:val="0"/>
        <w:adjustRightInd w:val="0"/>
        <w:spacing w:line="460" w:lineRule="exact"/>
        <w:jc w:val="center"/>
        <w:textAlignment w:val="auto"/>
        <w:rPr>
          <w:rFonts w:hint="eastAsia" w:ascii="黑体" w:hAnsi="宋体" w:eastAsia="黑体"/>
          <w:b/>
          <w:sz w:val="32"/>
          <w:szCs w:val="32"/>
        </w:rPr>
      </w:pPr>
      <w:r>
        <w:rPr>
          <w:rFonts w:hint="eastAsia" w:ascii="黑体" w:hAnsi="宋体" w:eastAsia="黑体"/>
          <w:b/>
          <w:sz w:val="32"/>
          <w:szCs w:val="32"/>
        </w:rPr>
        <w:t>投标文件的评审</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一、</w:t>
      </w:r>
      <w:r>
        <w:rPr>
          <w:rFonts w:hint="eastAsia" w:ascii="仿宋_GB2312" w:hAnsi="宋体" w:eastAsia="仿宋_GB2312"/>
          <w:sz w:val="28"/>
          <w:szCs w:val="28"/>
        </w:rPr>
        <w:t>开标会议</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投标人按规定的时间和地点参加开标会议，开标会议由学院评标小组主持。</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评标前，由学院审查投标人资格，投标人须带招标文件规定的文件（复印件需加盖公章）资料及本人身份证，符合资格者方可进场。每一投标人参加开标会议的人数以</w:t>
      </w:r>
      <w:r>
        <w:rPr>
          <w:rFonts w:hint="eastAsia" w:ascii="仿宋_GB2312" w:hAnsi="宋体" w:eastAsia="仿宋_GB2312"/>
          <w:sz w:val="28"/>
          <w:szCs w:val="28"/>
          <w:lang w:val="en-US" w:eastAsia="zh-CN"/>
        </w:rPr>
        <w:t>2</w:t>
      </w:r>
      <w:r>
        <w:rPr>
          <w:rFonts w:hint="eastAsia" w:ascii="仿宋_GB2312" w:hAnsi="宋体" w:eastAsia="仿宋_GB2312"/>
          <w:sz w:val="28"/>
          <w:szCs w:val="28"/>
        </w:rPr>
        <w:t>人为限。</w:t>
      </w:r>
    </w:p>
    <w:p>
      <w:pPr>
        <w:spacing w:line="500" w:lineRule="exact"/>
        <w:ind w:firstLine="560" w:firstLineChars="200"/>
        <w:rPr>
          <w:rFonts w:hint="eastAsia" w:ascii="仿宋_GB2312" w:hAnsi="宋体" w:eastAsia="仿宋_GB2312"/>
          <w:sz w:val="28"/>
          <w:szCs w:val="28"/>
          <w:shd w:val="pct10" w:color="auto" w:fill="FFFFFF"/>
        </w:rPr>
      </w:pPr>
      <w:r>
        <w:rPr>
          <w:rFonts w:hint="eastAsia" w:ascii="仿宋_GB2312" w:hAnsi="宋体" w:eastAsia="仿宋_GB2312"/>
          <w:sz w:val="28"/>
          <w:szCs w:val="28"/>
          <w:lang w:eastAsia="zh-CN"/>
        </w:rPr>
        <w:t>（三）</w:t>
      </w:r>
      <w:r>
        <w:rPr>
          <w:rFonts w:hint="eastAsia" w:ascii="仿宋_GB2312" w:hAnsi="宋体" w:eastAsia="仿宋_GB2312"/>
          <w:sz w:val="28"/>
          <w:szCs w:val="28"/>
        </w:rPr>
        <w:t>当场查验有效投标文件的密封状况，一致认可后方可拆封。</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二、评标小组</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根据本次</w:t>
      </w:r>
      <w:r>
        <w:rPr>
          <w:rFonts w:hint="eastAsia" w:ascii="仿宋_GB2312" w:hAnsi="宋体" w:eastAsia="仿宋_GB2312"/>
          <w:sz w:val="28"/>
          <w:szCs w:val="28"/>
          <w:lang w:eastAsia="zh-CN"/>
        </w:rPr>
        <w:t>比选</w:t>
      </w:r>
      <w:r>
        <w:rPr>
          <w:rFonts w:hint="eastAsia" w:ascii="仿宋_GB2312" w:hAnsi="宋体" w:eastAsia="仿宋_GB2312"/>
          <w:sz w:val="28"/>
          <w:szCs w:val="28"/>
        </w:rPr>
        <w:t>项目的特点，组建</w:t>
      </w:r>
      <w:r>
        <w:rPr>
          <w:rFonts w:hint="eastAsia" w:ascii="仿宋_GB2312" w:hAnsi="宋体" w:eastAsia="仿宋_GB2312"/>
          <w:sz w:val="28"/>
          <w:szCs w:val="28"/>
          <w:lang w:val="en-US" w:eastAsia="zh-CN"/>
        </w:rPr>
        <w:t>5</w:t>
      </w:r>
      <w:r>
        <w:rPr>
          <w:rFonts w:hint="eastAsia" w:ascii="仿宋_GB2312" w:hAnsi="宋体" w:eastAsia="仿宋_GB2312"/>
          <w:sz w:val="28"/>
          <w:szCs w:val="28"/>
        </w:rPr>
        <w:t>人评标小组，在评标前，由招投标工作领导小组办公室在学院人才库随机抽取</w:t>
      </w:r>
      <w:r>
        <w:rPr>
          <w:rFonts w:hint="eastAsia" w:ascii="仿宋_GB2312" w:hAnsi="宋体" w:eastAsia="仿宋_GB2312"/>
          <w:sz w:val="28"/>
          <w:szCs w:val="28"/>
          <w:lang w:val="en-US" w:eastAsia="zh-CN"/>
        </w:rPr>
        <w:t>5</w:t>
      </w:r>
      <w:r>
        <w:rPr>
          <w:rFonts w:hint="eastAsia" w:ascii="仿宋_GB2312" w:hAnsi="宋体" w:eastAsia="仿宋_GB2312"/>
          <w:sz w:val="28"/>
          <w:szCs w:val="28"/>
        </w:rPr>
        <w:t>人组建评标小组，从中挑选</w:t>
      </w:r>
      <w:r>
        <w:rPr>
          <w:rFonts w:hint="eastAsia" w:ascii="仿宋_GB2312" w:hAnsi="宋体" w:eastAsia="仿宋_GB2312"/>
          <w:sz w:val="28"/>
          <w:szCs w:val="28"/>
          <w:lang w:val="en-US" w:eastAsia="zh-CN"/>
        </w:rPr>
        <w:t>1</w:t>
      </w:r>
      <w:r>
        <w:rPr>
          <w:rFonts w:hint="eastAsia" w:ascii="仿宋_GB2312" w:hAnsi="宋体" w:eastAsia="仿宋_GB2312"/>
          <w:sz w:val="28"/>
          <w:szCs w:val="28"/>
        </w:rPr>
        <w:t>人为评标小组长。</w:t>
      </w:r>
    </w:p>
    <w:p>
      <w:pPr>
        <w:spacing w:line="500" w:lineRule="exact"/>
        <w:ind w:left="420" w:leftChars="200" w:firstLine="140" w:firstLineChars="5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 xml:space="preserve">评标工作程序 </w:t>
      </w:r>
    </w:p>
    <w:p>
      <w:pPr>
        <w:spacing w:line="500" w:lineRule="exact"/>
        <w:ind w:left="420" w:hanging="420" w:hangingChars="150"/>
        <w:rPr>
          <w:rFonts w:hint="eastAsia" w:ascii="仿宋_GB2312" w:hAnsi="宋体" w:eastAsia="仿宋_GB2312"/>
          <w:sz w:val="28"/>
          <w:szCs w:val="28"/>
        </w:rPr>
      </w:pPr>
      <w:r>
        <w:rPr>
          <w:rFonts w:hint="eastAsia" w:ascii="仿宋_GB2312" w:hAnsi="宋体" w:eastAsia="仿宋_GB2312"/>
          <w:sz w:val="28"/>
          <w:szCs w:val="28"/>
        </w:rPr>
        <mc:AlternateContent>
          <mc:Choice Requires="wpg">
            <w:drawing>
              <wp:anchor distT="0" distB="0" distL="114300" distR="114300" simplePos="0" relativeHeight="251659264" behindDoc="0" locked="0" layoutInCell="1" allowOverlap="1">
                <wp:simplePos x="0" y="0"/>
                <wp:positionH relativeFrom="column">
                  <wp:posOffset>400050</wp:posOffset>
                </wp:positionH>
                <wp:positionV relativeFrom="paragraph">
                  <wp:posOffset>93980</wp:posOffset>
                </wp:positionV>
                <wp:extent cx="5715000" cy="2773680"/>
                <wp:effectExtent l="4445" t="5080" r="14605" b="21590"/>
                <wp:wrapNone/>
                <wp:docPr id="9" name="组合 9"/>
                <wp:cNvGraphicFramePr/>
                <a:graphic xmlns:a="http://schemas.openxmlformats.org/drawingml/2006/main">
                  <a:graphicData uri="http://schemas.microsoft.com/office/word/2010/wordprocessingGroup">
                    <wpg:wgp>
                      <wpg:cNvGrpSpPr/>
                      <wpg:grpSpPr>
                        <a:xfrm>
                          <a:off x="0" y="0"/>
                          <a:ext cx="5715000" cy="2773680"/>
                          <a:chOff x="0" y="0"/>
                          <a:chExt cx="9000" cy="4368"/>
                        </a:xfrm>
                      </wpg:grpSpPr>
                      <wps:wsp>
                        <wps:cNvPr id="2" name="矩形 2"/>
                        <wps:cNvSpPr/>
                        <wps:spPr>
                          <a:xfrm>
                            <a:off x="1980" y="2028"/>
                            <a:ext cx="7020" cy="23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ascii="仿宋_GB2312" w:eastAsia="仿宋_GB2312"/>
                                  <w:szCs w:val="21"/>
                                </w:rPr>
                              </w:pPr>
                              <w:r>
                                <w:rPr>
                                  <w:rFonts w:hint="eastAsia" w:ascii="仿宋_GB2312" w:eastAsia="仿宋_GB2312"/>
                                  <w:szCs w:val="21"/>
                                </w:rPr>
                                <w:t>1.审核投标人资格。</w:t>
                              </w:r>
                            </w:p>
                            <w:p>
                              <w:pPr>
                                <w:spacing w:line="300" w:lineRule="exact"/>
                                <w:rPr>
                                  <w:rFonts w:hint="eastAsia" w:ascii="仿宋_GB2312" w:eastAsia="仿宋_GB2312"/>
                                  <w:szCs w:val="21"/>
                                </w:rPr>
                              </w:pPr>
                              <w:r>
                                <w:rPr>
                                  <w:rFonts w:hint="eastAsia" w:ascii="仿宋_GB2312" w:eastAsia="仿宋_GB2312"/>
                                  <w:szCs w:val="21"/>
                                </w:rPr>
                                <w:t>2.查验投标文件密封件并拆封、分发给每一位评标小组成员。</w:t>
                              </w:r>
                            </w:p>
                            <w:p>
                              <w:pPr>
                                <w:spacing w:line="300" w:lineRule="exact"/>
                                <w:ind w:left="210" w:hanging="210" w:hangingChars="100"/>
                                <w:rPr>
                                  <w:rFonts w:hint="eastAsia" w:ascii="仿宋_GB2312" w:eastAsia="仿宋_GB2312"/>
                                  <w:szCs w:val="21"/>
                                </w:rPr>
                              </w:pPr>
                              <w:r>
                                <w:rPr>
                                  <w:rFonts w:hint="eastAsia" w:ascii="仿宋_GB2312" w:hAnsi="宋体" w:eastAsia="仿宋_GB2312"/>
                                  <w:szCs w:val="21"/>
                                </w:rPr>
                                <w:t>3.评标小组对投标文件进行现场开标，以综合评分法确定中标人。（</w:t>
                              </w:r>
                              <w:r>
                                <w:rPr>
                                  <w:rFonts w:hint="eastAsia" w:ascii="仿宋_GB2312" w:eastAsia="仿宋_GB2312"/>
                                  <w:szCs w:val="21"/>
                                </w:rPr>
                                <w:t>评审过程若出现争议较大，难以把握的情况，应及时向学院招投标工作领导小组请示）</w:t>
                              </w:r>
                              <w:r>
                                <w:rPr>
                                  <w:rFonts w:hint="eastAsia" w:ascii="仿宋_GB2312" w:hAnsi="宋体" w:eastAsia="仿宋_GB2312"/>
                                  <w:szCs w:val="21"/>
                                </w:rPr>
                                <w:t>。</w:t>
                              </w:r>
                            </w:p>
                            <w:p>
                              <w:pPr>
                                <w:spacing w:line="300" w:lineRule="exact"/>
                                <w:rPr>
                                  <w:rFonts w:hint="eastAsia" w:ascii="仿宋_GB2312" w:eastAsia="仿宋_GB2312"/>
                                  <w:szCs w:val="21"/>
                                </w:rPr>
                              </w:pPr>
                              <w:r>
                                <w:rPr>
                                  <w:rFonts w:hint="eastAsia" w:ascii="仿宋_GB2312" w:eastAsia="仿宋_GB2312"/>
                                  <w:szCs w:val="21"/>
                                </w:rPr>
                                <w:t>4.撰写评标报告。</w:t>
                              </w:r>
                            </w:p>
                            <w:p>
                              <w:pPr>
                                <w:spacing w:line="300" w:lineRule="exact"/>
                                <w:rPr>
                                  <w:rFonts w:hint="eastAsia" w:ascii="仿宋_GB2312" w:eastAsia="仿宋_GB2312"/>
                                  <w:szCs w:val="21"/>
                                </w:rPr>
                              </w:pPr>
                              <w:r>
                                <w:rPr>
                                  <w:rFonts w:hint="eastAsia" w:ascii="仿宋_GB2312" w:eastAsia="仿宋_GB2312"/>
                                  <w:szCs w:val="21"/>
                                </w:rPr>
                                <w:t>5.宣布中标人。</w:t>
                              </w:r>
                            </w:p>
                            <w:p>
                              <w:pPr>
                                <w:spacing w:line="300" w:lineRule="exact"/>
                                <w:rPr>
                                  <w:rFonts w:hint="eastAsia" w:ascii="仿宋_GB2312" w:hAnsi="宋体" w:eastAsia="仿宋_GB2312"/>
                                  <w:szCs w:val="21"/>
                                </w:rPr>
                              </w:pPr>
                            </w:p>
                            <w:p>
                              <w:pPr>
                                <w:jc w:val="center"/>
                              </w:pPr>
                            </w:p>
                          </w:txbxContent>
                        </wps:txbx>
                        <wps:bodyPr upright="1"/>
                      </wps:wsp>
                      <wps:wsp>
                        <wps:cNvPr id="3" name="矩形 3"/>
                        <wps:cNvSpPr/>
                        <wps:spPr>
                          <a:xfrm>
                            <a:off x="1980" y="312"/>
                            <a:ext cx="5040" cy="9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hAnsi="宋体" w:eastAsia="仿宋_GB2312"/>
                                  <w:szCs w:val="21"/>
                                </w:rPr>
                                <w:t>评标小组集体研读招标文件及相关资料，明确招标目的、评审的标准与方法。</w:t>
                              </w:r>
                            </w:p>
                          </w:txbxContent>
                        </wps:txbx>
                        <wps:bodyPr upright="1"/>
                      </wps:wsp>
                      <wps:wsp>
                        <wps:cNvPr id="4" name="直接连接符 4"/>
                        <wps:cNvCnPr/>
                        <wps:spPr>
                          <a:xfrm>
                            <a:off x="4500" y="1248"/>
                            <a:ext cx="0" cy="780"/>
                          </a:xfrm>
                          <a:prstGeom prst="line">
                            <a:avLst/>
                          </a:prstGeom>
                          <a:ln w="9525" cap="flat" cmpd="sng">
                            <a:solidFill>
                              <a:srgbClr val="000000"/>
                            </a:solidFill>
                            <a:prstDash val="solid"/>
                            <a:headEnd type="none" w="med" len="med"/>
                            <a:tailEnd type="triangle" w="med" len="med"/>
                          </a:ln>
                        </wps:spPr>
                        <wps:bodyPr upright="1"/>
                      </wps:wsp>
                      <wps:wsp>
                        <wps:cNvPr id="5" name="矩形 5"/>
                        <wps:cNvSpPr/>
                        <wps:spPr>
                          <a:xfrm>
                            <a:off x="0" y="2996"/>
                            <a:ext cx="720" cy="109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仿宋_GB2312" w:eastAsia="仿宋_GB2312"/>
                                  <w:b/>
                                </w:rPr>
                              </w:pPr>
                              <w:r>
                                <w:rPr>
                                  <w:rFonts w:hint="eastAsia" w:ascii="仿宋_GB2312" w:eastAsia="仿宋_GB2312"/>
                                  <w:b/>
                                </w:rPr>
                                <w:t>开标会</w:t>
                              </w:r>
                            </w:p>
                          </w:txbxContent>
                        </wps:txbx>
                        <wps:bodyPr vert="eaVert" upright="1"/>
                      </wps:wsp>
                      <wps:wsp>
                        <wps:cNvPr id="6" name="矩形 6"/>
                        <wps:cNvSpPr/>
                        <wps:spPr>
                          <a:xfrm>
                            <a:off x="0" y="0"/>
                            <a:ext cx="1440" cy="18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rPr>
                              </w:pPr>
                              <w:r>
                                <w:rPr>
                                  <w:rFonts w:hint="eastAsia" w:ascii="仿宋_GB2312" w:eastAsia="仿宋_GB2312"/>
                                </w:rPr>
                                <w:t>前三十分钟）   （开标会议</w:t>
                              </w:r>
                            </w:p>
                            <w:p>
                              <w:pPr>
                                <w:jc w:val="center"/>
                                <w:rPr>
                                  <w:rFonts w:hint="eastAsia" w:ascii="仿宋_GB2312" w:eastAsia="仿宋_GB2312"/>
                                  <w:b/>
                                </w:rPr>
                              </w:pPr>
                              <w:r>
                                <w:rPr>
                                  <w:rFonts w:hint="eastAsia" w:ascii="仿宋_GB2312" w:eastAsia="仿宋_GB2312"/>
                                  <w:b/>
                                </w:rPr>
                                <w:t>预备会</w:t>
                              </w:r>
                            </w:p>
                          </w:txbxContent>
                        </wps:txbx>
                        <wps:bodyPr vert="eaVert" upright="1"/>
                      </wps:wsp>
                      <wps:wsp>
                        <wps:cNvPr id="7" name="直接连接符 7"/>
                        <wps:cNvCnPr/>
                        <wps:spPr>
                          <a:xfrm>
                            <a:off x="711" y="3501"/>
                            <a:ext cx="1260" cy="0"/>
                          </a:xfrm>
                          <a:prstGeom prst="line">
                            <a:avLst/>
                          </a:prstGeom>
                          <a:ln w="9525" cap="flat" cmpd="sng">
                            <a:solidFill>
                              <a:srgbClr val="000000"/>
                            </a:solidFill>
                            <a:prstDash val="solid"/>
                            <a:headEnd type="none" w="med" len="med"/>
                            <a:tailEnd type="triangle" w="med" len="med"/>
                          </a:ln>
                        </wps:spPr>
                        <wps:bodyPr upright="1"/>
                      </wps:wsp>
                      <wps:wsp>
                        <wps:cNvPr id="8" name="直接连接符 8"/>
                        <wps:cNvCnPr/>
                        <wps:spPr>
                          <a:xfrm>
                            <a:off x="1437" y="936"/>
                            <a:ext cx="540" cy="0"/>
                          </a:xfrm>
                          <a:prstGeom prst="line">
                            <a:avLst/>
                          </a:prstGeom>
                          <a:ln w="9525" cap="flat" cmpd="sng">
                            <a:solidFill>
                              <a:srgbClr val="000000"/>
                            </a:solidFill>
                            <a:prstDash val="solid"/>
                            <a:headEnd type="none" w="med" len="med"/>
                            <a:tailEnd type="triangle" w="med" len="med"/>
                          </a:ln>
                        </wps:spPr>
                        <wps:bodyPr upright="1"/>
                      </wps:wsp>
                    </wpg:wgp>
                  </a:graphicData>
                </a:graphic>
              </wp:anchor>
            </w:drawing>
          </mc:Choice>
          <mc:Fallback>
            <w:pict>
              <v:group id="_x0000_s1026" o:spid="_x0000_s1026" o:spt="203" style="position:absolute;left:0pt;margin-left:31.5pt;margin-top:7.4pt;height:218.4pt;width:450pt;z-index:251659264;mso-width-relative:page;mso-height-relative:page;" coordsize="9000,4368" o:gfxdata="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">
                <o:lock v:ext="edit" aspectratio="f"/>
                <v:rect id="_x0000_s1026" o:spid="_x0000_s1026" o:spt="1" style="position:absolute;left:1980;top:2028;height:2340;width:7020;"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00" w:lineRule="exact"/>
                          <w:rPr>
                            <w:rFonts w:hint="eastAsia" w:ascii="仿宋_GB2312" w:eastAsia="仿宋_GB2312"/>
                            <w:szCs w:val="21"/>
                          </w:rPr>
                        </w:pPr>
                        <w:r>
                          <w:rPr>
                            <w:rFonts w:hint="eastAsia" w:ascii="仿宋_GB2312" w:eastAsia="仿宋_GB2312"/>
                            <w:szCs w:val="21"/>
                          </w:rPr>
                          <w:t>1.审核投标人资格。</w:t>
                        </w:r>
                      </w:p>
                      <w:p>
                        <w:pPr>
                          <w:spacing w:line="300" w:lineRule="exact"/>
                          <w:rPr>
                            <w:rFonts w:hint="eastAsia" w:ascii="仿宋_GB2312" w:eastAsia="仿宋_GB2312"/>
                            <w:szCs w:val="21"/>
                          </w:rPr>
                        </w:pPr>
                        <w:r>
                          <w:rPr>
                            <w:rFonts w:hint="eastAsia" w:ascii="仿宋_GB2312" w:eastAsia="仿宋_GB2312"/>
                            <w:szCs w:val="21"/>
                          </w:rPr>
                          <w:t>2.查验投标文件密封件并拆封、分发给每一位评标小组成员。</w:t>
                        </w:r>
                      </w:p>
                      <w:p>
                        <w:pPr>
                          <w:spacing w:line="300" w:lineRule="exact"/>
                          <w:ind w:left="210" w:hanging="210" w:hangingChars="100"/>
                          <w:rPr>
                            <w:rFonts w:hint="eastAsia" w:ascii="仿宋_GB2312" w:eastAsia="仿宋_GB2312"/>
                            <w:szCs w:val="21"/>
                          </w:rPr>
                        </w:pPr>
                        <w:r>
                          <w:rPr>
                            <w:rFonts w:hint="eastAsia" w:ascii="仿宋_GB2312" w:hAnsi="宋体" w:eastAsia="仿宋_GB2312"/>
                            <w:szCs w:val="21"/>
                          </w:rPr>
                          <w:t>3.评标小组对投标文件进行现场开标，以综合评分法确定中标人。（</w:t>
                        </w:r>
                        <w:r>
                          <w:rPr>
                            <w:rFonts w:hint="eastAsia" w:ascii="仿宋_GB2312" w:eastAsia="仿宋_GB2312"/>
                            <w:szCs w:val="21"/>
                          </w:rPr>
                          <w:t>评审过程若出现争议较大，难以把握的情况，应及时向学院招投标工作领导小组请示）</w:t>
                        </w:r>
                        <w:r>
                          <w:rPr>
                            <w:rFonts w:hint="eastAsia" w:ascii="仿宋_GB2312" w:hAnsi="宋体" w:eastAsia="仿宋_GB2312"/>
                            <w:szCs w:val="21"/>
                          </w:rPr>
                          <w:t>。</w:t>
                        </w:r>
                      </w:p>
                      <w:p>
                        <w:pPr>
                          <w:spacing w:line="300" w:lineRule="exact"/>
                          <w:rPr>
                            <w:rFonts w:hint="eastAsia" w:ascii="仿宋_GB2312" w:eastAsia="仿宋_GB2312"/>
                            <w:szCs w:val="21"/>
                          </w:rPr>
                        </w:pPr>
                        <w:r>
                          <w:rPr>
                            <w:rFonts w:hint="eastAsia" w:ascii="仿宋_GB2312" w:eastAsia="仿宋_GB2312"/>
                            <w:szCs w:val="21"/>
                          </w:rPr>
                          <w:t>4.撰写评标报告。</w:t>
                        </w:r>
                      </w:p>
                      <w:p>
                        <w:pPr>
                          <w:spacing w:line="300" w:lineRule="exact"/>
                          <w:rPr>
                            <w:rFonts w:hint="eastAsia" w:ascii="仿宋_GB2312" w:eastAsia="仿宋_GB2312"/>
                            <w:szCs w:val="21"/>
                          </w:rPr>
                        </w:pPr>
                        <w:r>
                          <w:rPr>
                            <w:rFonts w:hint="eastAsia" w:ascii="仿宋_GB2312" w:eastAsia="仿宋_GB2312"/>
                            <w:szCs w:val="21"/>
                          </w:rPr>
                          <w:t>5.宣布中标人。</w:t>
                        </w:r>
                      </w:p>
                      <w:p>
                        <w:pPr>
                          <w:spacing w:line="300" w:lineRule="exact"/>
                          <w:rPr>
                            <w:rFonts w:hint="eastAsia" w:ascii="仿宋_GB2312" w:hAnsi="宋体" w:eastAsia="仿宋_GB2312"/>
                            <w:szCs w:val="21"/>
                          </w:rPr>
                        </w:pPr>
                      </w:p>
                      <w:p>
                        <w:pPr>
                          <w:jc w:val="center"/>
                        </w:pPr>
                      </w:p>
                    </w:txbxContent>
                  </v:textbox>
                </v:rect>
                <v:rect id="_x0000_s1026" o:spid="_x0000_s1026" o:spt="1" style="position:absolute;left:1980;top:312;height:936;width:5040;"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ascii="仿宋_GB2312" w:eastAsia="仿宋_GB2312"/>
                          </w:rPr>
                        </w:pPr>
                        <w:r>
                          <w:rPr>
                            <w:rFonts w:hint="eastAsia" w:ascii="仿宋_GB2312" w:hAnsi="宋体" w:eastAsia="仿宋_GB2312"/>
                            <w:szCs w:val="21"/>
                          </w:rPr>
                          <w:t>评标小组集体研读招标文件及相关资料，明确招标目的、评审的标准与方法。</w:t>
                        </w:r>
                      </w:p>
                    </w:txbxContent>
                  </v:textbox>
                </v:rect>
                <v:line id="_x0000_s1026" o:spid="_x0000_s1026" o:spt="20" style="position:absolute;left:4500;top:1248;height:780;width:0;"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0;top:2996;height:1092;width:720;" fillcolor="#FFFFFF" filled="t" stroked="t" coordsize="21600,21600" o:gfxdata="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Vmei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style="layout-flow:vertical-ideographic;">
                    <w:txbxContent>
                      <w:p>
                        <w:pPr>
                          <w:jc w:val="center"/>
                          <w:rPr>
                            <w:rFonts w:hint="eastAsia" w:ascii="仿宋_GB2312" w:eastAsia="仿宋_GB2312"/>
                            <w:b/>
                          </w:rPr>
                        </w:pPr>
                        <w:r>
                          <w:rPr>
                            <w:rFonts w:hint="eastAsia" w:ascii="仿宋_GB2312" w:eastAsia="仿宋_GB2312"/>
                            <w:b/>
                          </w:rPr>
                          <w:t>开标会</w:t>
                        </w:r>
                      </w:p>
                    </w:txbxContent>
                  </v:textbox>
                </v:rect>
                <v:rect id="_x0000_s1026" o:spid="_x0000_s1026" o:spt="1" style="position:absolute;left:0;top:0;height:1872;width:1440;" fillcolor="#FFFFFF" filled="t" stroked="t" coordsize="21600,21600" o:gfxdata="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cHn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style="layout-flow:vertical-ideographic;">
                    <w:txbxContent>
                      <w:p>
                        <w:pPr>
                          <w:rPr>
                            <w:rFonts w:hint="eastAsia" w:ascii="仿宋_GB2312" w:eastAsia="仿宋_GB2312"/>
                          </w:rPr>
                        </w:pPr>
                        <w:r>
                          <w:rPr>
                            <w:rFonts w:hint="eastAsia" w:ascii="仿宋_GB2312" w:eastAsia="仿宋_GB2312"/>
                          </w:rPr>
                          <w:t>前三十分钟）   （开标会议</w:t>
                        </w:r>
                      </w:p>
                      <w:p>
                        <w:pPr>
                          <w:jc w:val="center"/>
                          <w:rPr>
                            <w:rFonts w:hint="eastAsia" w:ascii="仿宋_GB2312" w:eastAsia="仿宋_GB2312"/>
                            <w:b/>
                          </w:rPr>
                        </w:pPr>
                        <w:r>
                          <w:rPr>
                            <w:rFonts w:hint="eastAsia" w:ascii="仿宋_GB2312" w:eastAsia="仿宋_GB2312"/>
                            <w:b/>
                          </w:rPr>
                          <w:t>预备会</w:t>
                        </w:r>
                      </w:p>
                    </w:txbxContent>
                  </v:textbox>
                </v:rect>
                <v:line id="_x0000_s1026" o:spid="_x0000_s1026" o:spt="20" style="position:absolute;left:711;top:3501;height:0;width:1260;" filled="f" stroked="t" coordsize="21600,21600" o:gfxdata="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efF8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1437;top:936;height:0;width:540;"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group>
            </w:pict>
          </mc:Fallback>
        </mc:AlternateContent>
      </w:r>
    </w:p>
    <w:p>
      <w:pPr>
        <w:spacing w:line="500" w:lineRule="exact"/>
        <w:ind w:left="420" w:hanging="420" w:hangingChars="150"/>
        <w:rPr>
          <w:rFonts w:hint="eastAsia" w:ascii="仿宋_GB2312" w:hAnsi="宋体" w:eastAsia="仿宋_GB2312"/>
          <w:sz w:val="28"/>
          <w:szCs w:val="28"/>
        </w:rPr>
      </w:pPr>
    </w:p>
    <w:p>
      <w:pPr>
        <w:spacing w:line="500" w:lineRule="exact"/>
        <w:ind w:left="420" w:hanging="420" w:hangingChars="150"/>
        <w:rPr>
          <w:rFonts w:hint="eastAsia" w:ascii="仿宋_GB2312" w:hAnsi="宋体" w:eastAsia="仿宋_GB2312"/>
          <w:sz w:val="28"/>
          <w:szCs w:val="28"/>
        </w:rPr>
      </w:pPr>
    </w:p>
    <w:p>
      <w:pPr>
        <w:spacing w:line="500" w:lineRule="exact"/>
        <w:ind w:left="353" w:leftChars="168" w:firstLine="1260" w:firstLineChars="450"/>
        <w:rPr>
          <w:rFonts w:hint="eastAsia" w:ascii="仿宋_GB2312" w:hAnsi="宋体" w:eastAsia="仿宋_GB2312"/>
          <w:sz w:val="28"/>
          <w:szCs w:val="28"/>
          <w:bdr w:val="single" w:color="auto" w:sz="4" w:space="0"/>
        </w:rPr>
      </w:pPr>
    </w:p>
    <w:p>
      <w:pPr>
        <w:spacing w:line="500" w:lineRule="exact"/>
        <w:ind w:left="353" w:leftChars="168" w:firstLine="3883" w:firstLineChars="1387"/>
        <w:rPr>
          <w:rFonts w:hint="eastAsia" w:ascii="仿宋_GB2312" w:hAnsi="宋体" w:eastAsia="仿宋_GB2312"/>
          <w:sz w:val="28"/>
          <w:szCs w:val="28"/>
        </w:rPr>
      </w:pPr>
      <w:r>
        <w:rPr>
          <w:rFonts w:hint="eastAsia" w:ascii="仿宋_GB2312" w:hAnsi="宋体" w:eastAsia="仿宋_GB2312"/>
          <w:sz w:val="28"/>
          <w:szCs w:val="28"/>
        </w:rPr>
        <w:t xml:space="preserve"> </w:t>
      </w:r>
    </w:p>
    <w:p>
      <w:pPr>
        <w:spacing w:line="500" w:lineRule="exact"/>
        <w:ind w:left="353" w:leftChars="168" w:firstLine="1260" w:firstLineChars="450"/>
        <w:rPr>
          <w:rFonts w:hint="eastAsia" w:ascii="仿宋_GB2312" w:hAnsi="宋体" w:eastAsia="仿宋_GB2312"/>
          <w:sz w:val="28"/>
          <w:szCs w:val="28"/>
          <w:bdr w:val="single" w:color="auto" w:sz="4" w:space="0"/>
        </w:rPr>
      </w:pPr>
    </w:p>
    <w:p>
      <w:pPr>
        <w:snapToGrid w:val="0"/>
        <w:spacing w:line="500" w:lineRule="exact"/>
        <w:rPr>
          <w:rFonts w:hint="eastAsia" w:ascii="宋体"/>
          <w:b/>
          <w:sz w:val="24"/>
        </w:rPr>
      </w:pPr>
    </w:p>
    <w:p>
      <w:pPr>
        <w:snapToGrid w:val="0"/>
        <w:spacing w:line="500" w:lineRule="exact"/>
        <w:rPr>
          <w:rFonts w:hint="eastAsia" w:ascii="宋体"/>
          <w:b/>
          <w:sz w:val="24"/>
        </w:rPr>
      </w:pPr>
    </w:p>
    <w:p>
      <w:pPr>
        <w:snapToGrid w:val="0"/>
        <w:spacing w:line="500" w:lineRule="exact"/>
        <w:rPr>
          <w:rFonts w:hint="eastAsia" w:ascii="宋体"/>
          <w:b/>
          <w:sz w:val="24"/>
        </w:rPr>
      </w:pPr>
    </w:p>
    <w:p>
      <w:pPr>
        <w:spacing w:line="500" w:lineRule="exact"/>
        <w:rPr>
          <w:rFonts w:hint="eastAsia" w:ascii="仿宋_GB2312" w:hAnsi="宋体" w:eastAsia="仿宋_GB2312"/>
          <w:sz w:val="28"/>
          <w:szCs w:val="28"/>
        </w:rPr>
      </w:pPr>
    </w:p>
    <w:p>
      <w:pPr>
        <w:snapToGrid w:val="0"/>
        <w:spacing w:line="500" w:lineRule="exact"/>
        <w:ind w:firstLine="560" w:firstLineChars="200"/>
        <w:rPr>
          <w:rFonts w:hint="eastAsia" w:ascii="仿宋_GB2312" w:hAnsi="宋体" w:eastAsia="仿宋_GB2312" w:cs="Arial"/>
          <w:sz w:val="28"/>
          <w:szCs w:val="28"/>
        </w:rPr>
      </w:pPr>
      <w:r>
        <w:rPr>
          <w:rFonts w:hint="eastAsia" w:ascii="仿宋_GB2312" w:hAnsi="宋体" w:eastAsia="仿宋_GB2312"/>
          <w:sz w:val="28"/>
          <w:szCs w:val="28"/>
          <w:lang w:eastAsia="zh-CN"/>
        </w:rPr>
        <w:t>（三）</w:t>
      </w:r>
      <w:r>
        <w:rPr>
          <w:rFonts w:hint="eastAsia" w:ascii="仿宋_GB2312" w:hAnsi="宋体" w:eastAsia="仿宋_GB2312" w:cs="Arial"/>
          <w:sz w:val="28"/>
          <w:szCs w:val="28"/>
        </w:rPr>
        <w:t xml:space="preserve">评标小组首先依据采购法规以及招标文件对投标文件进行资格性和符合性审查，通过资格性和符合性审查的投标人为有效投标人，其次对投标文件进行评审并打分，以综合评分法确定中标人。 </w:t>
      </w:r>
    </w:p>
    <w:p>
      <w:pPr>
        <w:snapToGrid w:val="0"/>
        <w:spacing w:line="500" w:lineRule="exact"/>
        <w:ind w:firstLine="560" w:firstLineChars="200"/>
        <w:rPr>
          <w:rFonts w:hint="eastAsia" w:ascii="仿宋_GB2312" w:hAnsi="宋体" w:eastAsia="仿宋_GB2312" w:cs="Arial"/>
          <w:sz w:val="28"/>
          <w:szCs w:val="28"/>
        </w:rPr>
      </w:pPr>
      <w:r>
        <w:rPr>
          <w:rFonts w:hint="eastAsia" w:ascii="仿宋_GB2312" w:hAnsi="宋体" w:eastAsia="仿宋_GB2312"/>
          <w:sz w:val="28"/>
          <w:szCs w:val="28"/>
          <w:lang w:eastAsia="zh-CN"/>
        </w:rPr>
        <w:t>（四）</w:t>
      </w:r>
      <w:r>
        <w:rPr>
          <w:rFonts w:hint="eastAsia" w:ascii="仿宋_GB2312" w:hAnsi="宋体" w:eastAsia="仿宋_GB2312" w:cs="Arial"/>
          <w:sz w:val="28"/>
          <w:szCs w:val="28"/>
        </w:rPr>
        <w:t>招标</w:t>
      </w:r>
      <w:r>
        <w:rPr>
          <w:rFonts w:hint="eastAsia" w:ascii="仿宋_GB2312" w:hAnsi="宋体" w:eastAsia="仿宋_GB2312"/>
          <w:sz w:val="28"/>
          <w:szCs w:val="28"/>
        </w:rPr>
        <w:t>文件响应性的确定</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w:t>
      </w:r>
      <w:r>
        <w:rPr>
          <w:rFonts w:hint="eastAsia" w:ascii="仿宋_GB2312" w:hAnsi="宋体" w:eastAsia="仿宋_GB2312" w:cs="Arial"/>
          <w:sz w:val="28"/>
          <w:szCs w:val="28"/>
        </w:rPr>
        <w:t>开标</w:t>
      </w:r>
      <w:r>
        <w:rPr>
          <w:rFonts w:hint="eastAsia" w:ascii="仿宋_GB2312" w:hAnsi="宋体" w:eastAsia="仿宋_GB2312"/>
          <w:sz w:val="28"/>
          <w:szCs w:val="28"/>
        </w:rPr>
        <w:t>之前，评标小组将首先审定每份文件是否实质上响应了</w:t>
      </w:r>
      <w:r>
        <w:rPr>
          <w:rFonts w:hint="eastAsia" w:ascii="仿宋_GB2312" w:hAnsi="宋体" w:eastAsia="仿宋_GB2312" w:cs="Arial"/>
          <w:sz w:val="28"/>
          <w:szCs w:val="28"/>
        </w:rPr>
        <w:t>招标</w:t>
      </w:r>
      <w:r>
        <w:rPr>
          <w:rFonts w:hint="eastAsia" w:ascii="仿宋_GB2312" w:hAnsi="宋体" w:eastAsia="仿宋_GB2312"/>
          <w:sz w:val="28"/>
          <w:szCs w:val="28"/>
        </w:rPr>
        <w:t>文件的要求。</w:t>
      </w:r>
      <w:r>
        <w:rPr>
          <w:rFonts w:hint="eastAsia" w:ascii="仿宋_GB2312" w:hAnsi="宋体" w:eastAsia="仿宋_GB2312" w:cs="Arial"/>
          <w:sz w:val="28"/>
          <w:szCs w:val="28"/>
        </w:rPr>
        <w:t>递交的投标文件</w:t>
      </w:r>
      <w:r>
        <w:rPr>
          <w:rFonts w:hint="eastAsia" w:ascii="仿宋_GB2312" w:hAnsi="宋体" w:eastAsia="仿宋_GB2312"/>
          <w:sz w:val="28"/>
          <w:szCs w:val="28"/>
        </w:rPr>
        <w:t>的响应与</w:t>
      </w:r>
      <w:r>
        <w:rPr>
          <w:rFonts w:hint="eastAsia" w:ascii="仿宋_GB2312" w:hAnsi="宋体" w:eastAsia="仿宋_GB2312" w:cs="Arial"/>
          <w:sz w:val="28"/>
          <w:szCs w:val="28"/>
        </w:rPr>
        <w:t>招标</w:t>
      </w:r>
      <w:r>
        <w:rPr>
          <w:rFonts w:hint="eastAsia" w:ascii="仿宋_GB2312" w:hAnsi="宋体" w:eastAsia="仿宋_GB2312"/>
          <w:sz w:val="28"/>
          <w:szCs w:val="28"/>
        </w:rPr>
        <w:t>文件的所有条款、条件和规范相符，无显著差异或保留（所谓显著差异或保留是指：对报价的范围、质量、使用性能产生实质性影响，或偏离了招标文件的要求），否则该</w:t>
      </w:r>
      <w:r>
        <w:rPr>
          <w:rFonts w:hint="eastAsia" w:ascii="仿宋_GB2312" w:hAnsi="宋体" w:eastAsia="仿宋_GB2312" w:cs="Arial"/>
          <w:sz w:val="28"/>
          <w:szCs w:val="28"/>
        </w:rPr>
        <w:t>投标文件</w:t>
      </w:r>
      <w:r>
        <w:rPr>
          <w:rFonts w:hint="eastAsia" w:ascii="仿宋_GB2312" w:hAnsi="宋体" w:eastAsia="仿宋_GB2312"/>
          <w:sz w:val="28"/>
          <w:szCs w:val="28"/>
        </w:rPr>
        <w:t>将被视为废件。</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（五）</w:t>
      </w:r>
      <w:r>
        <w:rPr>
          <w:rFonts w:hint="eastAsia" w:ascii="仿宋_GB2312" w:hAnsi="宋体" w:eastAsia="仿宋_GB2312" w:cs="Arial"/>
          <w:sz w:val="28"/>
          <w:szCs w:val="28"/>
        </w:rPr>
        <w:t>投标</w:t>
      </w:r>
      <w:r>
        <w:rPr>
          <w:rFonts w:hint="eastAsia" w:ascii="仿宋_GB2312" w:hAnsi="宋体" w:eastAsia="仿宋_GB2312"/>
          <w:sz w:val="28"/>
          <w:szCs w:val="28"/>
        </w:rPr>
        <w:t>文件的澄清</w:t>
      </w:r>
    </w:p>
    <w:p>
      <w:pPr>
        <w:spacing w:line="500" w:lineRule="exact"/>
        <w:ind w:firstLine="560" w:firstLineChars="200"/>
        <w:rPr>
          <w:rFonts w:hint="eastAsia" w:ascii="仿宋_GB2312" w:hAnsi="宋体" w:eastAsia="仿宋_GB2312"/>
          <w:sz w:val="28"/>
          <w:szCs w:val="28"/>
          <w:shd w:val="pct10" w:color="auto" w:fill="FFFFFF"/>
        </w:rPr>
      </w:pPr>
      <w:r>
        <w:rPr>
          <w:rFonts w:hint="eastAsia" w:ascii="仿宋_GB2312" w:hAnsi="宋体" w:eastAsia="仿宋_GB2312"/>
          <w:sz w:val="28"/>
          <w:szCs w:val="28"/>
        </w:rPr>
        <w:t>评标过程中，评标小组可以要求投标人澄清其投标文件、投标人应以书面当场回复。</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三、废件的情况</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在评标过程中，如果发现下列情况之一的，其报价将被拒绝而作为废件处理：</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投标文件逾期送达的；</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投标人以他人名义报价、串通报价、以行贿手段谋取中标或以其他弄虚作假方式的；</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投标文件未密封或密封后无盖章签名的；未加盖企业及法人代表印章的；</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未按投标文件的主要条款编制的；</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（五）</w:t>
      </w:r>
      <w:r>
        <w:rPr>
          <w:rFonts w:hint="eastAsia" w:ascii="仿宋_GB2312" w:hAnsi="宋体" w:eastAsia="仿宋_GB2312"/>
          <w:sz w:val="28"/>
          <w:szCs w:val="28"/>
        </w:rPr>
        <w:t>字迹涂改或辨认不清的；</w:t>
      </w:r>
    </w:p>
    <w:p>
      <w:pPr>
        <w:tabs>
          <w:tab w:val="left" w:pos="1080"/>
        </w:tabs>
        <w:spacing w:line="500" w:lineRule="exact"/>
        <w:ind w:firstLine="560" w:firstLineChars="200"/>
        <w:rPr>
          <w:rFonts w:hint="eastAsia" w:ascii="仿宋_GB2312" w:hAnsi="宋体" w:eastAsia="仿宋_GB2312"/>
          <w:spacing w:val="-8"/>
          <w:sz w:val="28"/>
          <w:szCs w:val="28"/>
        </w:rPr>
      </w:pPr>
      <w:r>
        <w:rPr>
          <w:rFonts w:hint="eastAsia" w:ascii="仿宋_GB2312" w:hAnsi="宋体" w:eastAsia="仿宋_GB2312"/>
          <w:sz w:val="28"/>
          <w:szCs w:val="28"/>
          <w:lang w:eastAsia="zh-CN"/>
        </w:rPr>
        <w:t>（六）</w:t>
      </w:r>
      <w:r>
        <w:rPr>
          <w:rFonts w:hint="eastAsia" w:ascii="仿宋_GB2312" w:hAnsi="宋体" w:eastAsia="仿宋_GB2312"/>
          <w:sz w:val="28"/>
          <w:szCs w:val="28"/>
        </w:rPr>
        <w:t>投标文件</w:t>
      </w:r>
      <w:r>
        <w:rPr>
          <w:rFonts w:hint="eastAsia" w:ascii="仿宋_GB2312" w:hAnsi="宋体" w:eastAsia="仿宋_GB2312"/>
          <w:spacing w:val="-8"/>
          <w:sz w:val="28"/>
          <w:szCs w:val="28"/>
        </w:rPr>
        <w:t>中附有其他采购人不能接受的条件或不符合文件中其他要求的；</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（七）</w:t>
      </w:r>
      <w:r>
        <w:rPr>
          <w:rFonts w:hint="eastAsia" w:ascii="仿宋_GB2312" w:hAnsi="宋体" w:eastAsia="仿宋_GB2312"/>
          <w:sz w:val="28"/>
          <w:szCs w:val="28"/>
        </w:rPr>
        <w:t>投标人法人代表未参加开标会议，又无指定委托代理人或虽参加会议，但其证件无效的；</w:t>
      </w:r>
    </w:p>
    <w:p>
      <w:pPr>
        <w:tabs>
          <w:tab w:val="left" w:pos="1080"/>
        </w:tabs>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（八）</w:t>
      </w:r>
      <w:r>
        <w:rPr>
          <w:rFonts w:hint="eastAsia" w:ascii="仿宋_GB2312" w:hAnsi="宋体" w:eastAsia="仿宋_GB2312"/>
          <w:sz w:val="28"/>
          <w:szCs w:val="28"/>
        </w:rPr>
        <w:t>投标人有其它损害采购人利益或社会公共利益的。</w:t>
      </w:r>
    </w:p>
    <w:p>
      <w:pPr>
        <w:spacing w:line="500" w:lineRule="exact"/>
        <w:ind w:firstLine="560" w:firstLineChars="200"/>
        <w:rPr>
          <w:rFonts w:hint="eastAsia" w:ascii="仿宋_GB2312" w:hAnsi="宋体" w:eastAsia="仿宋_GB2312"/>
          <w:bCs/>
          <w:sz w:val="28"/>
          <w:szCs w:val="28"/>
          <w:shd w:val="pct10" w:color="auto" w:fill="FFFFFF"/>
        </w:rPr>
      </w:pPr>
      <w:r>
        <w:rPr>
          <w:rFonts w:hint="eastAsia" w:ascii="仿宋_GB2312" w:hAnsi="宋体" w:eastAsia="仿宋_GB2312"/>
          <w:bCs/>
          <w:sz w:val="28"/>
          <w:szCs w:val="28"/>
        </w:rPr>
        <w:t>四、</w:t>
      </w:r>
      <w:r>
        <w:rPr>
          <w:rFonts w:hint="eastAsia" w:ascii="仿宋_GB2312" w:hAnsi="宋体" w:eastAsia="仿宋_GB2312"/>
          <w:sz w:val="28"/>
          <w:szCs w:val="28"/>
        </w:rPr>
        <w:t>评标的</w:t>
      </w:r>
      <w:r>
        <w:rPr>
          <w:rFonts w:hint="eastAsia" w:ascii="仿宋_GB2312" w:hAnsi="宋体" w:eastAsia="仿宋_GB2312"/>
          <w:bCs/>
          <w:sz w:val="28"/>
          <w:szCs w:val="28"/>
        </w:rPr>
        <w:t>原则</w:t>
      </w:r>
    </w:p>
    <w:p>
      <w:pPr>
        <w:pStyle w:val="7"/>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评标小组本着少花钱、多办事、办好事的原则开展工作。</w:t>
      </w:r>
    </w:p>
    <w:p>
      <w:pPr>
        <w:pStyle w:val="7"/>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 xml:space="preserve">评标小组只对有效的投标文件进行评估和比较。 </w:t>
      </w:r>
    </w:p>
    <w:p>
      <w:pPr>
        <w:pStyle w:val="7"/>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评标小组将依据采购的有关规定，遵循“公开、公平、公正”的原则进行评审工作。评标小组将按照规定只对通过初步评审的投标文件进行最终评审和比较。</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在评标中，任何一方不得透露与评标有关的其他投标人的技术资料、价格和其他信息。</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五、评审方法</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第一阶段:由评标小组现场当众宣读各投标人报价后,评标小组对每个投标人的投标文件进行初步审阅。</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第二阶段: 评标小组对每个投标人的投标文件进行资格性和符合性审查。</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（三）第</w:t>
      </w:r>
      <w:r>
        <w:rPr>
          <w:rFonts w:hint="eastAsia" w:ascii="仿宋_GB2312" w:hAnsi="宋体" w:eastAsia="仿宋_GB2312"/>
          <w:sz w:val="28"/>
          <w:szCs w:val="28"/>
        </w:rPr>
        <w:t>三阶段:进行综合评审，评审过程中评审小组可以要求投标人对投标文件内容做相关澄清。</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第四阶段：评标小组通过审阅评标推荐中标候选人，评标小组写出评标结果报告。</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（五）</w:t>
      </w:r>
      <w:r>
        <w:rPr>
          <w:rFonts w:hint="eastAsia" w:ascii="仿宋_GB2312" w:hAnsi="宋体" w:eastAsia="仿宋_GB2312"/>
          <w:sz w:val="28"/>
          <w:szCs w:val="28"/>
        </w:rPr>
        <w:t>第五阶段：由评标小组长和纪检代表向学院招投标领导小组提交共同署名的评标报告，评标报告得到确认后宣布中标人并公示</w:t>
      </w:r>
      <w:r>
        <w:rPr>
          <w:rFonts w:hint="eastAsia" w:ascii="仿宋_GB2312" w:hAnsi="宋体" w:eastAsia="仿宋_GB2312"/>
          <w:sz w:val="28"/>
          <w:szCs w:val="28"/>
          <w:lang w:val="en-US" w:eastAsia="zh-CN"/>
        </w:rPr>
        <w:t>3</w:t>
      </w:r>
      <w:r>
        <w:rPr>
          <w:rFonts w:hint="eastAsia" w:ascii="仿宋_GB2312" w:hAnsi="宋体" w:eastAsia="仿宋_GB2312"/>
          <w:sz w:val="28"/>
          <w:szCs w:val="28"/>
        </w:rPr>
        <w:t>天。</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六、中标人的确定</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本项目采取综合评分法确定中标人。</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招标人从评标小组推荐的中标候选人中依法确定中标人。</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排名第一中标候选人放弃中标的、因不可抗力提出不能履行合同，或者招标文件规定应当提交履约保证金而在规定的期限内未能提交的，招标人可以确定排名第二者为中标候选人。依次类推。</w:t>
      </w:r>
    </w:p>
    <w:p>
      <w:pPr>
        <w:pStyle w:val="7"/>
        <w:spacing w:line="500" w:lineRule="exact"/>
        <w:ind w:left="281" w:leftChars="134" w:firstLine="280" w:firstLineChars="100"/>
        <w:rPr>
          <w:rFonts w:hint="eastAsia" w:ascii="仿宋_GB2312" w:hAnsi="宋体" w:eastAsia="仿宋_GB2312" w:cs="Arial"/>
          <w:sz w:val="28"/>
          <w:szCs w:val="28"/>
        </w:rPr>
      </w:pPr>
      <w:r>
        <w:rPr>
          <w:rFonts w:hint="eastAsia" w:ascii="仿宋_GB2312" w:hAnsi="宋体" w:eastAsia="仿宋_GB2312" w:cs="Arial"/>
          <w:sz w:val="28"/>
          <w:szCs w:val="28"/>
        </w:rPr>
        <w:t>七、评标报告</w:t>
      </w:r>
    </w:p>
    <w:p>
      <w:pPr>
        <w:pStyle w:val="7"/>
        <w:spacing w:line="500" w:lineRule="exact"/>
        <w:ind w:firstLine="560" w:firstLineChars="200"/>
        <w:rPr>
          <w:rFonts w:hint="eastAsia" w:ascii="仿宋_GB2312" w:hAnsi="宋体" w:eastAsia="仿宋_GB2312" w:cs="Arial"/>
          <w:sz w:val="28"/>
          <w:szCs w:val="28"/>
        </w:rPr>
      </w:pPr>
      <w:r>
        <w:rPr>
          <w:rFonts w:hint="eastAsia" w:ascii="仿宋_GB2312" w:hAnsi="宋体" w:eastAsia="仿宋_GB2312"/>
          <w:sz w:val="28"/>
          <w:szCs w:val="28"/>
          <w:lang w:eastAsia="zh-CN"/>
        </w:rPr>
        <w:t>（一）</w:t>
      </w:r>
      <w:r>
        <w:rPr>
          <w:rFonts w:hint="eastAsia" w:ascii="仿宋_GB2312" w:hAnsi="宋体" w:eastAsia="仿宋_GB2312" w:cs="Arial"/>
          <w:sz w:val="28"/>
          <w:szCs w:val="28"/>
        </w:rPr>
        <w:t xml:space="preserve">评标小组完成评标后，应提交书面评标报告，推荐1-2名中标候选人，并标明排列顺序。评标报告报学院招投标工作领导小组同意后交学院纪检监察审计室及招投标管理部门备案。  </w:t>
      </w:r>
    </w:p>
    <w:p>
      <w:pPr>
        <w:pStyle w:val="7"/>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cs="Arial"/>
          <w:sz w:val="28"/>
          <w:szCs w:val="28"/>
        </w:rPr>
        <w:t>中标报告应当如实记载以下内容：基本情况和数据表；评标小组成员名单；评标记录；符合要求的投标人一览表；废件情况说明；评标标准、方法或者评标因素一览表；经评审的价格或者评分比较一览表；经评审的中标人排序；推荐的中标候选人名单与签订合同前要处理的事宜；澄清、说明、补正事项纪要等。 </w:t>
      </w:r>
    </w:p>
    <w:p>
      <w:pPr>
        <w:pStyle w:val="7"/>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八、其它事项</w:t>
      </w:r>
    </w:p>
    <w:p>
      <w:pPr>
        <w:spacing w:line="500" w:lineRule="exact"/>
        <w:ind w:left="31" w:leftChars="15" w:firstLine="560" w:firstLineChars="200"/>
        <w:rPr>
          <w:rFonts w:hint="eastAsia" w:ascii="仿宋_GB2312" w:hAnsi="宋体" w:eastAsia="仿宋_GB2312"/>
          <w:sz w:val="28"/>
          <w:szCs w:val="28"/>
          <w:shd w:val="pct10" w:color="auto" w:fill="FFFFFF"/>
        </w:rPr>
      </w:pPr>
      <w:r>
        <w:rPr>
          <w:rFonts w:hint="eastAsia" w:ascii="仿宋_GB2312" w:hAnsi="宋体" w:eastAsia="仿宋_GB2312"/>
          <w:sz w:val="28"/>
          <w:szCs w:val="28"/>
          <w:lang w:eastAsia="zh-CN"/>
        </w:rPr>
        <w:t>（一）</w:t>
      </w:r>
      <w:r>
        <w:rPr>
          <w:rFonts w:hint="eastAsia" w:ascii="仿宋_GB2312" w:hAnsi="宋体" w:eastAsia="仿宋_GB2312"/>
          <w:sz w:val="28"/>
          <w:szCs w:val="28"/>
        </w:rPr>
        <w:t>开标期间，投标人不得向评委询问评标情况，不得非法进行旨在影响评标结果的活动。</w:t>
      </w:r>
    </w:p>
    <w:p>
      <w:pPr>
        <w:spacing w:line="500" w:lineRule="exact"/>
        <w:ind w:left="31" w:leftChars="15"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学</w:t>
      </w:r>
      <w:r>
        <w:rPr>
          <w:rFonts w:hint="eastAsia" w:ascii="仿宋_GB2312" w:hAnsi="宋体" w:eastAsia="仿宋_GB2312"/>
          <w:sz w:val="28"/>
          <w:szCs w:val="28"/>
          <w:lang w:eastAsia="zh-CN"/>
        </w:rPr>
        <w:t>校</w:t>
      </w:r>
      <w:r>
        <w:rPr>
          <w:rFonts w:hint="eastAsia" w:ascii="仿宋_GB2312" w:hAnsi="宋体" w:eastAsia="仿宋_GB2312"/>
          <w:sz w:val="28"/>
          <w:szCs w:val="28"/>
        </w:rPr>
        <w:t>不向中标人及其他投标人解释中标或不中标的原因。</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九、中标通知书</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评标结果确定后，由</w:t>
      </w:r>
      <w:r>
        <w:rPr>
          <w:rFonts w:hint="eastAsia" w:ascii="仿宋_GB2312" w:hAnsi="宋体" w:eastAsia="仿宋_GB2312"/>
          <w:sz w:val="28"/>
          <w:szCs w:val="28"/>
          <w:lang w:eastAsia="zh-CN"/>
        </w:rPr>
        <w:t>重庆市万州高级技工学校</w:t>
      </w:r>
      <w:r>
        <w:rPr>
          <w:rFonts w:hint="eastAsia" w:ascii="仿宋_GB2312" w:hAnsi="宋体" w:eastAsia="仿宋_GB2312"/>
          <w:sz w:val="28"/>
          <w:szCs w:val="28"/>
        </w:rPr>
        <w:t>签发《中标通知书》，并公示</w:t>
      </w:r>
      <w:r>
        <w:rPr>
          <w:rFonts w:hint="eastAsia" w:ascii="仿宋_GB2312" w:hAnsi="宋体" w:eastAsia="仿宋_GB2312"/>
          <w:sz w:val="28"/>
          <w:szCs w:val="28"/>
          <w:lang w:val="en-US" w:eastAsia="zh-CN"/>
        </w:rPr>
        <w:t>3</w:t>
      </w:r>
      <w:r>
        <w:rPr>
          <w:rFonts w:hint="eastAsia" w:ascii="仿宋_GB2312" w:hAnsi="宋体" w:eastAsia="仿宋_GB2312"/>
          <w:sz w:val="28"/>
          <w:szCs w:val="28"/>
        </w:rPr>
        <w:t>天。</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《中标通知书》将作为签订合同的重要依据。</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十、签订合同</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（一）</w:t>
      </w:r>
      <w:r>
        <w:rPr>
          <w:rFonts w:hint="eastAsia" w:ascii="仿宋_GB2312" w:hAnsi="宋体" w:eastAsia="仿宋_GB2312"/>
          <w:sz w:val="28"/>
          <w:szCs w:val="28"/>
        </w:rPr>
        <w:t>中标人在中标公示期满后</w:t>
      </w:r>
      <w:r>
        <w:rPr>
          <w:rFonts w:hint="eastAsia" w:ascii="仿宋_GB2312" w:hAnsi="宋体" w:eastAsia="仿宋_GB2312"/>
          <w:sz w:val="28"/>
          <w:szCs w:val="28"/>
          <w:lang w:val="en-US" w:eastAsia="zh-CN"/>
        </w:rPr>
        <w:t>3</w:t>
      </w:r>
      <w:r>
        <w:rPr>
          <w:rFonts w:hint="eastAsia" w:ascii="仿宋_GB2312" w:hAnsi="宋体" w:eastAsia="仿宋_GB2312"/>
          <w:sz w:val="28"/>
          <w:szCs w:val="28"/>
        </w:rPr>
        <w:t>日内，与</w:t>
      </w:r>
      <w:r>
        <w:rPr>
          <w:rFonts w:hint="eastAsia" w:ascii="仿宋_GB2312" w:hAnsi="宋体" w:eastAsia="仿宋_GB2312"/>
          <w:sz w:val="28"/>
          <w:szCs w:val="28"/>
          <w:lang w:eastAsia="zh-CN"/>
        </w:rPr>
        <w:t>学校</w:t>
      </w:r>
      <w:r>
        <w:rPr>
          <w:rFonts w:hint="eastAsia" w:ascii="仿宋_GB2312" w:hAnsi="宋体" w:eastAsia="仿宋_GB2312"/>
          <w:sz w:val="28"/>
          <w:szCs w:val="28"/>
        </w:rPr>
        <w:t>签订合同。逾期签订的，将取消其中标资格。</w:t>
      </w:r>
    </w:p>
    <w:p>
      <w:pPr>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（二）</w:t>
      </w:r>
      <w:r>
        <w:rPr>
          <w:rFonts w:hint="eastAsia" w:ascii="仿宋_GB2312" w:hAnsi="宋体" w:eastAsia="仿宋_GB2312"/>
          <w:sz w:val="28"/>
          <w:szCs w:val="28"/>
        </w:rPr>
        <w:t>招标文件、中标人的投标文件及其澄清文件等，均为签订合同的依据。</w:t>
      </w:r>
    </w:p>
    <w:p>
      <w:pPr>
        <w:topLinePunct/>
        <w:spacing w:line="5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lang w:eastAsia="zh-CN"/>
        </w:rPr>
        <w:t>（三）</w:t>
      </w:r>
      <w:r>
        <w:rPr>
          <w:rFonts w:hint="eastAsia" w:ascii="仿宋_GB2312" w:hAnsi="宋体" w:eastAsia="仿宋_GB2312"/>
          <w:sz w:val="28"/>
          <w:szCs w:val="28"/>
        </w:rPr>
        <w:t>合同签订与履行过程中，中标人出现不履行、不完全履行合同、有欺诈行为或有其他违约情况的，一经发现，即取消其成交资格并根据有关规定做出相应处理。</w:t>
      </w:r>
    </w:p>
    <w:p>
      <w:pPr>
        <w:pStyle w:val="21"/>
        <w:rPr>
          <w:rFonts w:hint="eastAsia" w:ascii="仿宋_GB2312" w:hAnsi="宋体" w:eastAsia="仿宋_GB2312"/>
          <w:sz w:val="28"/>
          <w:szCs w:val="28"/>
        </w:rPr>
      </w:pPr>
    </w:p>
    <w:p>
      <w:pPr>
        <w:pStyle w:val="21"/>
        <w:rPr>
          <w:rFonts w:hint="eastAsia" w:ascii="仿宋_GB2312" w:hAnsi="宋体" w:eastAsia="仿宋_GB2312"/>
          <w:sz w:val="28"/>
          <w:szCs w:val="28"/>
        </w:rPr>
      </w:pPr>
    </w:p>
    <w:p>
      <w:pPr>
        <w:pStyle w:val="21"/>
        <w:rPr>
          <w:rFonts w:hint="eastAsia" w:ascii="仿宋_GB2312" w:hAnsi="宋体" w:eastAsia="仿宋_GB2312"/>
          <w:sz w:val="28"/>
          <w:szCs w:val="28"/>
        </w:rPr>
      </w:pPr>
    </w:p>
    <w:p>
      <w:pPr>
        <w:pStyle w:val="21"/>
        <w:rPr>
          <w:rFonts w:hint="eastAsia" w:ascii="仿宋_GB2312" w:hAnsi="宋体" w:eastAsia="仿宋_GB2312"/>
          <w:sz w:val="28"/>
          <w:szCs w:val="28"/>
        </w:rPr>
      </w:pPr>
    </w:p>
    <w:p>
      <w:pPr>
        <w:pStyle w:val="21"/>
        <w:rPr>
          <w:rFonts w:hint="eastAsia" w:ascii="仿宋_GB2312" w:hAnsi="宋体" w:eastAsia="仿宋_GB2312"/>
          <w:sz w:val="28"/>
          <w:szCs w:val="28"/>
        </w:rPr>
      </w:pPr>
    </w:p>
    <w:p>
      <w:pPr>
        <w:pStyle w:val="21"/>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sz w:val="44"/>
          <w:szCs w:val="44"/>
        </w:rPr>
      </w:pPr>
      <w:r>
        <w:rPr>
          <w:rFonts w:hint="eastAsia"/>
          <w:b/>
          <w:sz w:val="44"/>
          <w:szCs w:val="44"/>
          <w:lang w:val="en-US" w:eastAsia="zh-CN"/>
        </w:rPr>
        <w:t>校企</w:t>
      </w:r>
      <w:r>
        <w:rPr>
          <w:rFonts w:hint="eastAsia"/>
          <w:b/>
          <w:sz w:val="44"/>
          <w:szCs w:val="44"/>
        </w:rPr>
        <w:t>合作</w:t>
      </w:r>
      <w:r>
        <w:rPr>
          <w:rFonts w:hint="eastAsia"/>
          <w:b/>
          <w:sz w:val="44"/>
          <w:szCs w:val="44"/>
          <w:lang w:val="en-US" w:eastAsia="zh-CN"/>
        </w:rPr>
        <w:t>经营</w:t>
      </w:r>
      <w:r>
        <w:rPr>
          <w:rFonts w:hint="eastAsia"/>
          <w:b/>
          <w:sz w:val="44"/>
          <w:szCs w:val="44"/>
        </w:rPr>
        <w:t>协议</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b/>
          <w:bCs/>
          <w:sz w:val="28"/>
          <w:szCs w:val="28"/>
          <w:u w:val="single"/>
          <w:lang w:val="en-US" w:eastAsia="zh-CN"/>
        </w:rPr>
      </w:pPr>
      <w:r>
        <w:rPr>
          <w:rFonts w:hint="eastAsia" w:ascii="仿宋" w:hAnsi="仿宋" w:eastAsia="仿宋" w:cs="仿宋"/>
          <w:b/>
          <w:bCs/>
          <w:sz w:val="28"/>
          <w:szCs w:val="28"/>
          <w:lang w:val="en-US" w:eastAsia="zh-CN"/>
        </w:rPr>
        <w:t>甲方：</w:t>
      </w:r>
      <w:r>
        <w:rPr>
          <w:rFonts w:hint="eastAsia" w:ascii="仿宋" w:hAnsi="仿宋" w:eastAsia="仿宋" w:cs="仿宋"/>
          <w:b/>
          <w:bCs/>
          <w:sz w:val="28"/>
          <w:szCs w:val="28"/>
          <w:u w:val="single"/>
          <w:lang w:val="en-US" w:eastAsia="zh-CN"/>
        </w:rPr>
        <w:t xml:space="preserve">重庆市万州高级技工学校            </w:t>
      </w:r>
      <w:r>
        <w:rPr>
          <w:rFonts w:hint="eastAsia" w:ascii="仿宋" w:hAnsi="仿宋" w:eastAsia="仿宋" w:cs="仿宋"/>
          <w:b/>
          <w:bCs/>
          <w:sz w:val="28"/>
          <w:szCs w:val="28"/>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地址：</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lang w:val="en-US" w:eastAsia="zh-CN"/>
        </w:rPr>
        <w:t>法人代表：</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r>
        <w:rPr>
          <w:rFonts w:hint="eastAsia" w:ascii="仿宋" w:hAnsi="仿宋" w:eastAsia="仿宋" w:cs="仿宋"/>
          <w:b/>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电话：</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rPr>
        <w:t>乙方</w:t>
      </w:r>
      <w:r>
        <w:rPr>
          <w:rFonts w:hint="eastAsia" w:ascii="仿宋" w:hAnsi="仿宋" w:eastAsia="仿宋" w:cs="仿宋"/>
          <w:b/>
          <w:bCs/>
          <w:sz w:val="28"/>
          <w:szCs w:val="28"/>
          <w:lang w:val="en-US" w:eastAsia="zh-CN"/>
        </w:rPr>
        <w:t>：</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lang w:val="en-US" w:eastAsia="zh-CN"/>
        </w:rPr>
        <w:t>地址：</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lang w:val="en-US" w:eastAsia="zh-CN"/>
        </w:rPr>
        <w:t>法人代表：</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电话：</w:t>
      </w:r>
      <w:r>
        <w:rPr>
          <w:rFonts w:hint="eastAsia" w:ascii="仿宋" w:hAnsi="仿宋" w:eastAsia="仿宋" w:cs="仿宋"/>
          <w:b/>
          <w:bCs/>
          <w:sz w:val="28"/>
          <w:szCs w:val="28"/>
          <w:u w:val="single"/>
          <w:lang w:val="en-US" w:eastAsia="zh-CN"/>
        </w:rPr>
        <w:t xml:space="preserve">                            </w:t>
      </w:r>
      <w:r>
        <w:rPr>
          <w:rFonts w:hint="eastAsia" w:ascii="仿宋" w:hAnsi="仿宋" w:eastAsia="仿宋" w:cs="仿宋"/>
          <w:b/>
          <w:bCs/>
          <w:sz w:val="28"/>
          <w:szCs w:val="28"/>
        </w:rPr>
        <w:t> </w:t>
      </w:r>
    </w:p>
    <w:p>
      <w:pPr>
        <w:pStyle w:val="2"/>
        <w:rPr>
          <w:rFonts w:hint="eastAsia"/>
        </w:rPr>
      </w:pPr>
    </w:p>
    <w:p>
      <w:pPr>
        <w:spacing w:line="520" w:lineRule="exact"/>
        <w:ind w:firstLine="640"/>
        <w:rPr>
          <w:rFonts w:hint="default"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为深化校企合作力度，整合优势办学资源，推动万州烤鱼学院向标准化、品牌化、产业化发展，把万州烤鱼建设成为全国特色餐饮品牌，培育烤鱼产业成为万州优势产业，甲乙双方就共同建设和运营“万州烤鱼学院”（以下简称烤鱼学院）进行深度合作，并就合作的相关事宜达成如下协议：</w:t>
      </w:r>
    </w:p>
    <w:p>
      <w:pPr>
        <w:spacing w:line="520" w:lineRule="exact"/>
        <w:ind w:firstLine="64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一、合作项目</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万州烤鱼学院，位于万州区和平路49号原万州商业干部学校。</w:t>
      </w:r>
    </w:p>
    <w:p>
      <w:pPr>
        <w:spacing w:line="520" w:lineRule="exact"/>
        <w:ind w:firstLine="64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二、合作原则</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优势互补、互利共赢、社会效益为主、经济效益为辅。</w:t>
      </w:r>
    </w:p>
    <w:p>
      <w:pPr>
        <w:spacing w:line="520" w:lineRule="exact"/>
        <w:ind w:firstLine="640"/>
        <w:rPr>
          <w:rFonts w:hint="eastAsia" w:ascii="仿宋" w:hAnsi="仿宋" w:eastAsia="仿宋" w:cs="仿宋"/>
          <w:b/>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三、合作内容及方式 </w:t>
      </w:r>
      <w:r>
        <w:rPr>
          <w:rFonts w:hint="eastAsia" w:ascii="仿宋" w:hAnsi="仿宋" w:eastAsia="仿宋" w:cs="仿宋"/>
          <w:b/>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（一）建设投入</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重庆市万州高级技工学校负责：水、电、气、网络、排污、消防等基础设施建设，教学楼电梯安装，教学楼前楼1-3楼、后楼1-7楼基础装修及教学、实训、办公、宿舍所需设施设备购买和修缮。计划投入资金350万元。</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2.合作企业负责：教学楼前楼4-7楼（就业创业服务中心）内部装修；教学楼电梯费用的50%；原滨江幼儿园（品鉴接待中心）内外装修。计划投入资金300万元。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（二）运营管理</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b/>
          <w:bCs/>
          <w:color w:val="000000" w:themeColor="text1"/>
          <w:sz w:val="28"/>
          <w:szCs w:val="28"/>
          <w:lang w:val="en-US" w:eastAsia="zh-CN"/>
          <w14:textFill>
            <w14:solidFill>
              <w14:schemeClr w14:val="tx1"/>
            </w14:solidFill>
          </w14:textFill>
        </w:rPr>
        <w:t>培训教学</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短期职业技能培训（含政府补贴培训和收费培训）：主要面向在岗厨师、待岗厨师和立志于餐饮创业或服务的社会人士开展。培训方向为烤鱼专业技能提升和应用。计划年培训500人，逐步达到2000人。</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（1）重庆市万州高级技工学校负责：培训指标申请、考试、鉴定、发证及补贴申领。</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（2）合作企业负责：招生和培训教学。</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在重庆市万州高级技工学校建立万州烤鱼学院专账，重庆市万州高级技工学校与合作企业按51%：49%的比例投入前期运营费用，重庆市万州高级技工学校指派1人担任出纳，合作企业指派1人担任会计，双方共同进行短期培训项目财务核算，收益和亏损均按51%：49%比例分配和承担。</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ab/>
      </w:r>
      <w:r>
        <w:rPr>
          <w:rFonts w:hint="eastAsia" w:ascii="仿宋" w:hAnsi="仿宋" w:eastAsia="仿宋" w:cs="仿宋"/>
          <w:color w:val="000000" w:themeColor="text1"/>
          <w:sz w:val="28"/>
          <w:szCs w:val="28"/>
          <w:lang w:val="en-US" w:eastAsia="zh-CN"/>
          <w14:textFill>
            <w14:solidFill>
              <w14:schemeClr w14:val="tx1"/>
            </w14:solidFill>
          </w14:textFill>
        </w:rPr>
        <w:t xml:space="preserve"> （4）烤鱼学院的招生费用按不超过培训收入的20%由重庆市万州高级技工学校据实支付给合作企业。</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b/>
          <w:bCs/>
          <w:color w:val="000000" w:themeColor="text1"/>
          <w:sz w:val="28"/>
          <w:szCs w:val="28"/>
          <w:lang w:val="en-US" w:eastAsia="zh-CN"/>
          <w14:textFill>
            <w14:solidFill>
              <w14:schemeClr w14:val="tx1"/>
            </w14:solidFill>
          </w14:textFill>
        </w:rPr>
        <w:t>就业创业</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成立就业创业服务中心，负责将培训学员输送到全国烤鱼商家就业，以及辅导立志创业的学员开店创业。预计每年向行业输送烤鱼技术专业人才300人，推动开店创业50人，逐步达到300人，带动就业2000人。</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合作企业租用教学楼前楼4-7楼，作为就业创业服务中心并进行内部装修，其中4楼由重庆市万州高级技工学校和合作企业共同使用，不收取校企合作费。5－7楼由合作企业独立运作，自主经营、自负盈亏。</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w:t>
      </w:r>
      <w:r>
        <w:rPr>
          <w:rFonts w:hint="eastAsia" w:ascii="仿宋" w:hAnsi="仿宋" w:eastAsia="仿宋" w:cs="仿宋"/>
          <w:b/>
          <w:bCs/>
          <w:color w:val="000000" w:themeColor="text1"/>
          <w:sz w:val="28"/>
          <w:szCs w:val="28"/>
          <w:lang w:val="en-US" w:eastAsia="zh-CN"/>
          <w14:textFill>
            <w14:solidFill>
              <w14:schemeClr w14:val="tx1"/>
            </w14:solidFill>
          </w14:textFill>
        </w:rPr>
        <w:t>品鉴接待</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为树立万州烤鱼品牌形象，扩大万州烤鱼学院影响，为学生提供实习实践基地、创业就业孵化基地，将原幼儿园用房建设为烤鱼学院品鉴接待中心，实现烤鱼学院教学成果对外鉴赏。</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品鉴接待中心由合作企业自行内外装修，外部装修风格按重庆市万州高级技工学校设计的要求，独立运作，自主经营、自负盈亏。</w:t>
      </w:r>
    </w:p>
    <w:p>
      <w:pPr>
        <w:spacing w:line="520" w:lineRule="exact"/>
        <w:ind w:firstLine="64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四、合作期限 </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合作期限为10年，从 2022年5月1日到2032年4月30日止。运营合作方式及相关部分试运行一年（2022年5月1日至2023年4月30日），一年后根据实际情况经双方协商一致可调整相关合作事宜。合作期限届满，双方无异议，则续签合作协议。</w:t>
      </w:r>
    </w:p>
    <w:p>
      <w:pPr>
        <w:spacing w:line="520" w:lineRule="exact"/>
        <w:ind w:firstLine="64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五、费用支付</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1.短期职业技能培训前期运营费用，应于2022年2月1日前汇入重庆市万州高级技工学校万州烤鱼学院专账，前期运行投入金额由双方协商，投入比例按重庆市万州高级技工学校51%、合作企业49%计算。</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2.校企合作费用支付：</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（1）装修期5个月（2021年12月1日至2022年4月30日）免收校企合作费。</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（2）试运行期12个月（2022年5月1日至2023年4月30日）免收校企合作费。</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（3）正式运营期9年（2023年5月1日至2032年4月30日）合作方使用的原滨江幼儿园全部以及教学楼前楼5－7楼，参考2023年房屋租赁市场评估价每年支付，先支付后使用，不递增递减。</w:t>
      </w:r>
    </w:p>
    <w:p>
      <w:pPr>
        <w:spacing w:line="520" w:lineRule="exact"/>
        <w:ind w:firstLine="640"/>
        <w:rPr>
          <w:rFonts w:hint="eastAsia" w:ascii="仿宋" w:hAnsi="仿宋" w:eastAsia="仿宋" w:cs="仿宋"/>
          <w:b w:val="0"/>
          <w:bCs/>
          <w:color w:val="000000" w:themeColor="text1"/>
          <w:sz w:val="28"/>
          <w:szCs w:val="28"/>
          <w:lang w:val="en-US" w:eastAsia="zh-CN"/>
          <w14:textFill>
            <w14:solidFill>
              <w14:schemeClr w14:val="tx1"/>
            </w14:solidFill>
          </w14:textFill>
        </w:rPr>
      </w:pPr>
      <w:r>
        <w:rPr>
          <w:rFonts w:hint="eastAsia" w:ascii="仿宋" w:hAnsi="仿宋" w:eastAsia="仿宋" w:cs="仿宋"/>
          <w:b w:val="0"/>
          <w:bCs/>
          <w:color w:val="000000" w:themeColor="text1"/>
          <w:sz w:val="28"/>
          <w:szCs w:val="28"/>
          <w:lang w:val="en-US" w:eastAsia="zh-CN"/>
          <w14:textFill>
            <w14:solidFill>
              <w14:schemeClr w14:val="tx1"/>
            </w14:solidFill>
          </w14:textFill>
        </w:rPr>
        <w:t>六、双方权利义务</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（一）重庆市万州高级技工学校负责提供万州区和平路49号原万州商业干部学校作为烤鱼学院合作场地。</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（二）重庆市万州高级技工学校负责申请、取得万州烤鱼学院办学资质、技能鉴定工作。</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（三）合作企业负责协助学院制订完整的教学计划和课程开发。</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（四）合作企业不得擅自将所涉及房屋另作他用或交由他人使用，必须用于与合作协议相关的用途。</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ind w:firstLine="560" w:firstLineChars="200"/>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（五）合作企业负责万州烤鱼配套相关产业自主商业运作。必须确保万州烤鱼学院正面形象，如有负面影响且影响较大，重庆万州高级技工学校有权终止合作协议。</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（六）合作双方根据培训工作需要，双方协商所需工作人员，其人员工资列入成本核算。</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b w:val="0"/>
          <w:bCs/>
          <w:color w:val="000000" w:themeColor="text1"/>
          <w:sz w:val="28"/>
          <w:szCs w:val="28"/>
          <w:lang w:val="en-US" w:eastAsia="zh-CN"/>
          <w14:textFill>
            <w14:solidFill>
              <w14:schemeClr w14:val="tx1"/>
            </w14:solidFill>
          </w14:textFill>
        </w:rPr>
        <w:t xml:space="preserve">   七、违约责任 </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一）协议期间，合作双方不得无故单方面提前解除或终止协议。如重庆市万州高级技工学校方无故单方面提前解除协议，应支付合作企业最初建设投入装修决算费用残值（暨本方案第三款第一条第二点所指，按解除协议时评估价值计算）。</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（二）协议期间，如合作企业无故单方面提前解除协议，重庆万州高级技工学校不支付合作企业任何费用。</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 xml:space="preserve">     （三）如因政府拆迁或平湖公司收回使用权等不可抗力因素，导致无法在原万州商业干部学校办学，合作双方损失各自承担，互不补偿，双方合作继续有效。拆迁补偿按各自建设投入分别享有。</w:t>
      </w:r>
    </w:p>
    <w:p>
      <w:pPr>
        <w:keepNext w:val="0"/>
        <w:keepLines w:val="0"/>
        <w:pageBreakBefore w:val="0"/>
        <w:widowControl w:val="0"/>
        <w:numPr>
          <w:ilvl w:val="0"/>
          <w:numId w:val="0"/>
        </w:numPr>
        <w:kinsoku/>
        <w:wordWrap/>
        <w:overflowPunct w:val="0"/>
        <w:topLinePunct w:val="0"/>
        <w:autoSpaceDE/>
        <w:autoSpaceDN/>
        <w:bidi w:val="0"/>
        <w:adjustRightInd/>
        <w:snapToGrid/>
        <w:spacing w:line="550" w:lineRule="exact"/>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color w:val="000000" w:themeColor="text1"/>
          <w:sz w:val="28"/>
          <w:szCs w:val="28"/>
          <w:lang w:val="en-US" w:eastAsia="zh-CN"/>
          <w14:textFill>
            <w14:solidFill>
              <w14:schemeClr w14:val="tx1"/>
            </w14:solidFill>
          </w14:textFill>
        </w:rPr>
        <w:t xml:space="preserve">     （四）未尽事宜，经双方协商解决。</w:t>
      </w:r>
    </w:p>
    <w:sectPr>
      <w:headerReference r:id="rId8" w:type="default"/>
      <w:footerReference r:id="rId9"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pPr>
    <w:r>
      <w:rPr>
        <w:sz w:val="18"/>
      </w:rPr>
      <mc:AlternateContent>
        <mc:Choice Requires="wps">
          <w:drawing>
            <wp:anchor distT="0" distB="0" distL="114300" distR="114300" simplePos="0" relativeHeight="251660288" behindDoc="0" locked="0" layoutInCell="1" allowOverlap="1">
              <wp:simplePos x="0" y="0"/>
              <wp:positionH relativeFrom="column">
                <wp:posOffset>5573395</wp:posOffset>
              </wp:positionH>
              <wp:positionV relativeFrom="paragraph">
                <wp:posOffset>0</wp:posOffset>
              </wp:positionV>
              <wp:extent cx="114935" cy="131445"/>
              <wp:effectExtent l="0" t="0" r="0" b="0"/>
              <wp:wrapNone/>
              <wp:docPr id="1" name="矩形 1"/>
              <wp:cNvGraphicFramePr/>
              <a:graphic xmlns:a="http://schemas.openxmlformats.org/drawingml/2006/main">
                <a:graphicData uri="http://schemas.microsoft.com/office/word/2010/wordprocessingShape">
                  <wps:wsp>
                    <wps:cNvSpPr/>
                    <wps:spPr>
                      <a:xfrm>
                        <a:off x="0" y="0"/>
                        <a:ext cx="114935" cy="131445"/>
                      </a:xfrm>
                      <a:prstGeom prst="rect">
                        <a:avLst/>
                      </a:prstGeom>
                      <a:noFill/>
                      <a:ln w="9525">
                        <a:noFill/>
                      </a:ln>
                      <a:effectLst/>
                    </wps:spPr>
                    <wps:bodyPr upright="1"/>
                  </wps:wsp>
                </a:graphicData>
              </a:graphic>
            </wp:anchor>
          </w:drawing>
        </mc:Choice>
        <mc:Fallback>
          <w:pict>
            <v:rect id="_x0000_s1026" o:spid="_x0000_s1026" o:spt="1" style="position:absolute;left:0pt;margin-left:438.85pt;margin-top:0pt;height:10.35pt;width:9.05pt;z-index:251660288;mso-width-relative:page;mso-height-relative:page;" filled="f" stroked="f" coordsize="21600,21600" o:gfxdata="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0Cl4w2AAAAAcB&#10;AAAPAAAAAAAAAAEAIAAAACIAAABkcnMvZG93bnJldi54bWxQSwECFAAUAAAACACHTuJAjKlUzakB&#10;AABMAwAADgAAAAAAAAABACAAAAAnAQAAZHJzL2Uyb0RvYy54bWxQSwUGAAAAAAYABgBZAQAAQgUA&#10;AAAA&#10;">
              <v:fill on="f" focussize="0,0"/>
              <v:stroke on="f"/>
              <v:imagedata o:title=""/>
              <o:lock v:ext="edit" aspectratio="f"/>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r>
      <w:rPr>
        <w:rStyle w:val="19"/>
      </w:rPr>
      <w:fldChar w:fldCharType="begin"/>
    </w:r>
    <w:r>
      <w:rPr>
        <w:rStyle w:val="19"/>
      </w:rPr>
      <w:instrText xml:space="preserve">PAGE  </w:instrText>
    </w:r>
    <w:r>
      <w:rPr>
        <w:rStyle w:val="19"/>
      </w:rPr>
      <w:fldChar w:fldCharType="separate"/>
    </w:r>
    <w:r>
      <w:rPr>
        <w:rStyle w:val="19"/>
      </w:rPr>
      <w:t>12</w:t>
    </w:r>
    <w:r>
      <w:rPr>
        <w:rStyle w:val="19"/>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4B3AFC"/>
    <w:multiLevelType w:val="singleLevel"/>
    <w:tmpl w:val="084B3AFC"/>
    <w:lvl w:ilvl="0" w:tentative="0">
      <w:start w:val="1"/>
      <w:numFmt w:val="chineseCounting"/>
      <w:suff w:val="space"/>
      <w:lvlText w:val="第%1章"/>
      <w:lvlJc w:val="left"/>
      <w:rPr>
        <w:rFonts w:hint="eastAsia"/>
      </w:rPr>
    </w:lvl>
  </w:abstractNum>
  <w:abstractNum w:abstractNumId="1">
    <w:nsid w:val="324F2C68"/>
    <w:multiLevelType w:val="singleLevel"/>
    <w:tmpl w:val="324F2C6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92"/>
    <w:rsid w:val="000463EC"/>
    <w:rsid w:val="0006619A"/>
    <w:rsid w:val="000866A9"/>
    <w:rsid w:val="00090EFF"/>
    <w:rsid w:val="00093306"/>
    <w:rsid w:val="000A2181"/>
    <w:rsid w:val="000D641A"/>
    <w:rsid w:val="000F01D3"/>
    <w:rsid w:val="001274B2"/>
    <w:rsid w:val="001E3EC5"/>
    <w:rsid w:val="001E4254"/>
    <w:rsid w:val="001E6085"/>
    <w:rsid w:val="00214536"/>
    <w:rsid w:val="0022266A"/>
    <w:rsid w:val="002E6DF2"/>
    <w:rsid w:val="00311703"/>
    <w:rsid w:val="0031375D"/>
    <w:rsid w:val="003153BA"/>
    <w:rsid w:val="003C4207"/>
    <w:rsid w:val="00411CA8"/>
    <w:rsid w:val="00413250"/>
    <w:rsid w:val="004222A1"/>
    <w:rsid w:val="0045713D"/>
    <w:rsid w:val="00466723"/>
    <w:rsid w:val="00467199"/>
    <w:rsid w:val="004B705D"/>
    <w:rsid w:val="004E2255"/>
    <w:rsid w:val="005251F1"/>
    <w:rsid w:val="00565B44"/>
    <w:rsid w:val="005664C9"/>
    <w:rsid w:val="00585B7C"/>
    <w:rsid w:val="00586667"/>
    <w:rsid w:val="005A7C37"/>
    <w:rsid w:val="005B1CF0"/>
    <w:rsid w:val="005B3276"/>
    <w:rsid w:val="005D00A7"/>
    <w:rsid w:val="005D127E"/>
    <w:rsid w:val="005F2D1C"/>
    <w:rsid w:val="006003FB"/>
    <w:rsid w:val="00600EB0"/>
    <w:rsid w:val="00617CF0"/>
    <w:rsid w:val="00620307"/>
    <w:rsid w:val="006209FB"/>
    <w:rsid w:val="00623943"/>
    <w:rsid w:val="006454D1"/>
    <w:rsid w:val="00647D55"/>
    <w:rsid w:val="006510DF"/>
    <w:rsid w:val="00687562"/>
    <w:rsid w:val="006A19A1"/>
    <w:rsid w:val="006E573C"/>
    <w:rsid w:val="006E6B75"/>
    <w:rsid w:val="007056D0"/>
    <w:rsid w:val="00716D76"/>
    <w:rsid w:val="00722331"/>
    <w:rsid w:val="0073567B"/>
    <w:rsid w:val="00755197"/>
    <w:rsid w:val="007556E7"/>
    <w:rsid w:val="007835EA"/>
    <w:rsid w:val="00790AF0"/>
    <w:rsid w:val="00796F73"/>
    <w:rsid w:val="007C727C"/>
    <w:rsid w:val="0086509E"/>
    <w:rsid w:val="008A112C"/>
    <w:rsid w:val="008C0DF3"/>
    <w:rsid w:val="008C1A98"/>
    <w:rsid w:val="008E54A3"/>
    <w:rsid w:val="008F0AD3"/>
    <w:rsid w:val="00936FCF"/>
    <w:rsid w:val="0094030E"/>
    <w:rsid w:val="00952A48"/>
    <w:rsid w:val="00957CAC"/>
    <w:rsid w:val="00980C2B"/>
    <w:rsid w:val="009902A1"/>
    <w:rsid w:val="009B5ECC"/>
    <w:rsid w:val="009D094B"/>
    <w:rsid w:val="009D77D4"/>
    <w:rsid w:val="00A25BD3"/>
    <w:rsid w:val="00A379DC"/>
    <w:rsid w:val="00A835EF"/>
    <w:rsid w:val="00A85C7B"/>
    <w:rsid w:val="00A87715"/>
    <w:rsid w:val="00AC09DD"/>
    <w:rsid w:val="00AF5781"/>
    <w:rsid w:val="00B03C90"/>
    <w:rsid w:val="00B64E52"/>
    <w:rsid w:val="00BA4541"/>
    <w:rsid w:val="00BD1F19"/>
    <w:rsid w:val="00BD226D"/>
    <w:rsid w:val="00BE7E53"/>
    <w:rsid w:val="00C341CD"/>
    <w:rsid w:val="00C92914"/>
    <w:rsid w:val="00CA3001"/>
    <w:rsid w:val="00CD0019"/>
    <w:rsid w:val="00D16603"/>
    <w:rsid w:val="00D337DE"/>
    <w:rsid w:val="00D50DFF"/>
    <w:rsid w:val="00D9135E"/>
    <w:rsid w:val="00DF0292"/>
    <w:rsid w:val="00DF2CAB"/>
    <w:rsid w:val="00E1481D"/>
    <w:rsid w:val="00E20271"/>
    <w:rsid w:val="00E22DA7"/>
    <w:rsid w:val="00E511D1"/>
    <w:rsid w:val="00E52A2C"/>
    <w:rsid w:val="00E86CC7"/>
    <w:rsid w:val="00E90D43"/>
    <w:rsid w:val="00EB27AD"/>
    <w:rsid w:val="00F45E40"/>
    <w:rsid w:val="00F46FC3"/>
    <w:rsid w:val="00F62512"/>
    <w:rsid w:val="00F75A22"/>
    <w:rsid w:val="00F84FF9"/>
    <w:rsid w:val="00FB1032"/>
    <w:rsid w:val="00FB77F1"/>
    <w:rsid w:val="00FE06F9"/>
    <w:rsid w:val="00FE5B83"/>
    <w:rsid w:val="00FE6E64"/>
    <w:rsid w:val="00FF720B"/>
    <w:rsid w:val="0178497E"/>
    <w:rsid w:val="01DB58A9"/>
    <w:rsid w:val="02271AA3"/>
    <w:rsid w:val="026E7AFD"/>
    <w:rsid w:val="02802326"/>
    <w:rsid w:val="02BA6A12"/>
    <w:rsid w:val="02E07E68"/>
    <w:rsid w:val="031672C1"/>
    <w:rsid w:val="031B0695"/>
    <w:rsid w:val="037E6364"/>
    <w:rsid w:val="03805BB9"/>
    <w:rsid w:val="038912C2"/>
    <w:rsid w:val="03AC36E5"/>
    <w:rsid w:val="03B47BFE"/>
    <w:rsid w:val="040C479C"/>
    <w:rsid w:val="043632B0"/>
    <w:rsid w:val="043F7CB5"/>
    <w:rsid w:val="04591BA9"/>
    <w:rsid w:val="046A156F"/>
    <w:rsid w:val="06355412"/>
    <w:rsid w:val="06596546"/>
    <w:rsid w:val="066A5878"/>
    <w:rsid w:val="06701CB1"/>
    <w:rsid w:val="06F866CE"/>
    <w:rsid w:val="0708112F"/>
    <w:rsid w:val="074F6F3C"/>
    <w:rsid w:val="07880C53"/>
    <w:rsid w:val="0796169B"/>
    <w:rsid w:val="086D6E6F"/>
    <w:rsid w:val="08A40BB2"/>
    <w:rsid w:val="08CB4EE0"/>
    <w:rsid w:val="08F50AD0"/>
    <w:rsid w:val="09056240"/>
    <w:rsid w:val="09761DC1"/>
    <w:rsid w:val="0A411326"/>
    <w:rsid w:val="0A623BD7"/>
    <w:rsid w:val="0A902CC4"/>
    <w:rsid w:val="0B034633"/>
    <w:rsid w:val="0B4F1E21"/>
    <w:rsid w:val="0B9F4FB1"/>
    <w:rsid w:val="0BAB2200"/>
    <w:rsid w:val="0BE21A0B"/>
    <w:rsid w:val="0C754C6C"/>
    <w:rsid w:val="0D79182F"/>
    <w:rsid w:val="0D9F2C31"/>
    <w:rsid w:val="0E0A5160"/>
    <w:rsid w:val="0E285180"/>
    <w:rsid w:val="0E9374CD"/>
    <w:rsid w:val="0E9F1855"/>
    <w:rsid w:val="0EEA4610"/>
    <w:rsid w:val="0F7D313B"/>
    <w:rsid w:val="100374CA"/>
    <w:rsid w:val="104A66A9"/>
    <w:rsid w:val="10752319"/>
    <w:rsid w:val="10A06C07"/>
    <w:rsid w:val="10DB3396"/>
    <w:rsid w:val="11FD3504"/>
    <w:rsid w:val="121A281D"/>
    <w:rsid w:val="12886AF1"/>
    <w:rsid w:val="13265ACB"/>
    <w:rsid w:val="137D12AD"/>
    <w:rsid w:val="13B73179"/>
    <w:rsid w:val="1436458F"/>
    <w:rsid w:val="14B338ED"/>
    <w:rsid w:val="14C625A2"/>
    <w:rsid w:val="14E101C7"/>
    <w:rsid w:val="15A5220D"/>
    <w:rsid w:val="15F45809"/>
    <w:rsid w:val="168978CD"/>
    <w:rsid w:val="172B5F75"/>
    <w:rsid w:val="179A166C"/>
    <w:rsid w:val="17C10A7E"/>
    <w:rsid w:val="18D25D8E"/>
    <w:rsid w:val="18DD7A53"/>
    <w:rsid w:val="1923077E"/>
    <w:rsid w:val="19375961"/>
    <w:rsid w:val="1A200896"/>
    <w:rsid w:val="1A760874"/>
    <w:rsid w:val="1A933D43"/>
    <w:rsid w:val="1AE54E1E"/>
    <w:rsid w:val="1B747DEF"/>
    <w:rsid w:val="1B775BC1"/>
    <w:rsid w:val="1B7A4E7C"/>
    <w:rsid w:val="1B8A22E6"/>
    <w:rsid w:val="1B95762B"/>
    <w:rsid w:val="1BB3167D"/>
    <w:rsid w:val="1BB53334"/>
    <w:rsid w:val="1BCE772B"/>
    <w:rsid w:val="1BDF6082"/>
    <w:rsid w:val="1BF2227E"/>
    <w:rsid w:val="1CF648D3"/>
    <w:rsid w:val="1D5B01CE"/>
    <w:rsid w:val="1D8C2892"/>
    <w:rsid w:val="1DEA31F3"/>
    <w:rsid w:val="1E86342C"/>
    <w:rsid w:val="1EF92E4D"/>
    <w:rsid w:val="1F224EBC"/>
    <w:rsid w:val="1F2862CE"/>
    <w:rsid w:val="1F50526D"/>
    <w:rsid w:val="1F760CA2"/>
    <w:rsid w:val="1F9D1958"/>
    <w:rsid w:val="1FC80152"/>
    <w:rsid w:val="20A645C8"/>
    <w:rsid w:val="20B62E2D"/>
    <w:rsid w:val="216802FF"/>
    <w:rsid w:val="218D2ACA"/>
    <w:rsid w:val="22B95A47"/>
    <w:rsid w:val="22C84B77"/>
    <w:rsid w:val="23570EBE"/>
    <w:rsid w:val="240C2700"/>
    <w:rsid w:val="247A50AC"/>
    <w:rsid w:val="249563CD"/>
    <w:rsid w:val="24C96BD5"/>
    <w:rsid w:val="2530458B"/>
    <w:rsid w:val="25547561"/>
    <w:rsid w:val="256F57BA"/>
    <w:rsid w:val="25D90CB8"/>
    <w:rsid w:val="26113FFE"/>
    <w:rsid w:val="26525732"/>
    <w:rsid w:val="27671012"/>
    <w:rsid w:val="27DA387A"/>
    <w:rsid w:val="27FB4D8B"/>
    <w:rsid w:val="2802763C"/>
    <w:rsid w:val="281A3D01"/>
    <w:rsid w:val="281B0CB8"/>
    <w:rsid w:val="2841477E"/>
    <w:rsid w:val="285B4C88"/>
    <w:rsid w:val="285F5EBE"/>
    <w:rsid w:val="2867675F"/>
    <w:rsid w:val="287F700A"/>
    <w:rsid w:val="28FB50A6"/>
    <w:rsid w:val="29652FAF"/>
    <w:rsid w:val="2A8C59A3"/>
    <w:rsid w:val="2C3157A9"/>
    <w:rsid w:val="2C5B3C85"/>
    <w:rsid w:val="2CA77513"/>
    <w:rsid w:val="2CA954AB"/>
    <w:rsid w:val="2D4900AE"/>
    <w:rsid w:val="2DA043D1"/>
    <w:rsid w:val="2E4955E4"/>
    <w:rsid w:val="2EC55707"/>
    <w:rsid w:val="2F617FA9"/>
    <w:rsid w:val="2F641985"/>
    <w:rsid w:val="2F791EB7"/>
    <w:rsid w:val="303576A7"/>
    <w:rsid w:val="31143BFE"/>
    <w:rsid w:val="31443DEF"/>
    <w:rsid w:val="318B487D"/>
    <w:rsid w:val="322D4454"/>
    <w:rsid w:val="32BB46D8"/>
    <w:rsid w:val="33910829"/>
    <w:rsid w:val="33CF3A1D"/>
    <w:rsid w:val="34762066"/>
    <w:rsid w:val="34903949"/>
    <w:rsid w:val="35837952"/>
    <w:rsid w:val="3632696C"/>
    <w:rsid w:val="369944AE"/>
    <w:rsid w:val="37931686"/>
    <w:rsid w:val="37B81950"/>
    <w:rsid w:val="37FB6B5E"/>
    <w:rsid w:val="37FE466D"/>
    <w:rsid w:val="39035A93"/>
    <w:rsid w:val="391326F2"/>
    <w:rsid w:val="394C44CA"/>
    <w:rsid w:val="39E2380E"/>
    <w:rsid w:val="39E86C2A"/>
    <w:rsid w:val="3A236559"/>
    <w:rsid w:val="3ACF417C"/>
    <w:rsid w:val="3ADB2425"/>
    <w:rsid w:val="3B132852"/>
    <w:rsid w:val="3B4057BC"/>
    <w:rsid w:val="3B577A51"/>
    <w:rsid w:val="3B7F3F61"/>
    <w:rsid w:val="3C6C5A69"/>
    <w:rsid w:val="3CA75EF0"/>
    <w:rsid w:val="3CDE23BF"/>
    <w:rsid w:val="3D2072B8"/>
    <w:rsid w:val="3D437042"/>
    <w:rsid w:val="3D6B30D7"/>
    <w:rsid w:val="3D8E2A6D"/>
    <w:rsid w:val="3E3B5954"/>
    <w:rsid w:val="3F2E2FC5"/>
    <w:rsid w:val="3FAD714B"/>
    <w:rsid w:val="3FD64E0C"/>
    <w:rsid w:val="4000188E"/>
    <w:rsid w:val="40011C9C"/>
    <w:rsid w:val="408A4166"/>
    <w:rsid w:val="41CC3208"/>
    <w:rsid w:val="42266589"/>
    <w:rsid w:val="423F1725"/>
    <w:rsid w:val="425C4C19"/>
    <w:rsid w:val="425D71D7"/>
    <w:rsid w:val="42D44F1C"/>
    <w:rsid w:val="434771F8"/>
    <w:rsid w:val="437E5D44"/>
    <w:rsid w:val="44235EB2"/>
    <w:rsid w:val="442829E8"/>
    <w:rsid w:val="450021C8"/>
    <w:rsid w:val="4578433A"/>
    <w:rsid w:val="458A47C3"/>
    <w:rsid w:val="46E34425"/>
    <w:rsid w:val="46ED44FF"/>
    <w:rsid w:val="47757E39"/>
    <w:rsid w:val="47841067"/>
    <w:rsid w:val="485E08E9"/>
    <w:rsid w:val="494C2D6E"/>
    <w:rsid w:val="49DC0E0B"/>
    <w:rsid w:val="4A7D1C7D"/>
    <w:rsid w:val="4B70643F"/>
    <w:rsid w:val="4C9E4173"/>
    <w:rsid w:val="4D0805E5"/>
    <w:rsid w:val="4DF73A1E"/>
    <w:rsid w:val="4E1142F5"/>
    <w:rsid w:val="4E1371D4"/>
    <w:rsid w:val="4FAF7AB9"/>
    <w:rsid w:val="50147469"/>
    <w:rsid w:val="50A978C1"/>
    <w:rsid w:val="50D002DA"/>
    <w:rsid w:val="51223B18"/>
    <w:rsid w:val="51621DC1"/>
    <w:rsid w:val="519C7F82"/>
    <w:rsid w:val="51D44706"/>
    <w:rsid w:val="52303212"/>
    <w:rsid w:val="523374E0"/>
    <w:rsid w:val="52405C7F"/>
    <w:rsid w:val="526E7889"/>
    <w:rsid w:val="52800EA7"/>
    <w:rsid w:val="52CB12DF"/>
    <w:rsid w:val="53744F8F"/>
    <w:rsid w:val="538650C4"/>
    <w:rsid w:val="53C2361D"/>
    <w:rsid w:val="54304235"/>
    <w:rsid w:val="54316074"/>
    <w:rsid w:val="546F63CF"/>
    <w:rsid w:val="55CB572E"/>
    <w:rsid w:val="55CE4C06"/>
    <w:rsid w:val="56095EFC"/>
    <w:rsid w:val="565353B9"/>
    <w:rsid w:val="567635E3"/>
    <w:rsid w:val="56AD132C"/>
    <w:rsid w:val="56D35AEE"/>
    <w:rsid w:val="56E27669"/>
    <w:rsid w:val="574C0F72"/>
    <w:rsid w:val="575A711B"/>
    <w:rsid w:val="578842E4"/>
    <w:rsid w:val="57981FCB"/>
    <w:rsid w:val="57E9122B"/>
    <w:rsid w:val="58152BC5"/>
    <w:rsid w:val="58217FEA"/>
    <w:rsid w:val="59431272"/>
    <w:rsid w:val="59993B4D"/>
    <w:rsid w:val="59E24368"/>
    <w:rsid w:val="59FA43FC"/>
    <w:rsid w:val="59FA7B60"/>
    <w:rsid w:val="5A5F13F9"/>
    <w:rsid w:val="5A8B167E"/>
    <w:rsid w:val="5A915FCF"/>
    <w:rsid w:val="5AD927C3"/>
    <w:rsid w:val="5AF5385C"/>
    <w:rsid w:val="5B577BA2"/>
    <w:rsid w:val="5BAB471D"/>
    <w:rsid w:val="5BF81FCA"/>
    <w:rsid w:val="5C712A22"/>
    <w:rsid w:val="5C993086"/>
    <w:rsid w:val="5CE91C5D"/>
    <w:rsid w:val="5D070126"/>
    <w:rsid w:val="5D1467CE"/>
    <w:rsid w:val="5D532611"/>
    <w:rsid w:val="5D9766DF"/>
    <w:rsid w:val="5DE41688"/>
    <w:rsid w:val="5EBC24BD"/>
    <w:rsid w:val="5EDA0BD0"/>
    <w:rsid w:val="5EE717C2"/>
    <w:rsid w:val="5EFE229F"/>
    <w:rsid w:val="5F6076DD"/>
    <w:rsid w:val="60CF284A"/>
    <w:rsid w:val="60DB6401"/>
    <w:rsid w:val="60EF1968"/>
    <w:rsid w:val="616B7D15"/>
    <w:rsid w:val="61974D1F"/>
    <w:rsid w:val="62927100"/>
    <w:rsid w:val="62927F1E"/>
    <w:rsid w:val="63182717"/>
    <w:rsid w:val="6328414A"/>
    <w:rsid w:val="634B3292"/>
    <w:rsid w:val="64106E05"/>
    <w:rsid w:val="642D3A40"/>
    <w:rsid w:val="644D0B1D"/>
    <w:rsid w:val="64752C8C"/>
    <w:rsid w:val="65B170A6"/>
    <w:rsid w:val="65CA52FD"/>
    <w:rsid w:val="65E549AA"/>
    <w:rsid w:val="662D29A7"/>
    <w:rsid w:val="662F547F"/>
    <w:rsid w:val="668336A9"/>
    <w:rsid w:val="6781117F"/>
    <w:rsid w:val="684527D4"/>
    <w:rsid w:val="68654EE2"/>
    <w:rsid w:val="6908023C"/>
    <w:rsid w:val="692F1681"/>
    <w:rsid w:val="69A001D7"/>
    <w:rsid w:val="69B741DF"/>
    <w:rsid w:val="69E558CB"/>
    <w:rsid w:val="6A243E59"/>
    <w:rsid w:val="6A331B24"/>
    <w:rsid w:val="6AC912F3"/>
    <w:rsid w:val="6AD3399C"/>
    <w:rsid w:val="6B1540D2"/>
    <w:rsid w:val="6B677FD4"/>
    <w:rsid w:val="6B775ADA"/>
    <w:rsid w:val="6B9E6008"/>
    <w:rsid w:val="6BDC1C51"/>
    <w:rsid w:val="6C8909F0"/>
    <w:rsid w:val="6CAE1E9B"/>
    <w:rsid w:val="6CD078D2"/>
    <w:rsid w:val="6D74019B"/>
    <w:rsid w:val="6D7932BA"/>
    <w:rsid w:val="6DDB1AD4"/>
    <w:rsid w:val="6DF71E00"/>
    <w:rsid w:val="6E3B2959"/>
    <w:rsid w:val="6F687755"/>
    <w:rsid w:val="6FB53D88"/>
    <w:rsid w:val="70191B99"/>
    <w:rsid w:val="70C91CE3"/>
    <w:rsid w:val="70E8199A"/>
    <w:rsid w:val="716C30BB"/>
    <w:rsid w:val="71EB1A5A"/>
    <w:rsid w:val="725A2C94"/>
    <w:rsid w:val="72797ADD"/>
    <w:rsid w:val="72D220EE"/>
    <w:rsid w:val="72F24964"/>
    <w:rsid w:val="735770BC"/>
    <w:rsid w:val="738D3125"/>
    <w:rsid w:val="738F661B"/>
    <w:rsid w:val="73A12E83"/>
    <w:rsid w:val="76D802B4"/>
    <w:rsid w:val="775D0409"/>
    <w:rsid w:val="77AE1F90"/>
    <w:rsid w:val="77BB48AF"/>
    <w:rsid w:val="77C80BA2"/>
    <w:rsid w:val="78453909"/>
    <w:rsid w:val="78640DC3"/>
    <w:rsid w:val="798C2289"/>
    <w:rsid w:val="7A6A0C25"/>
    <w:rsid w:val="7A782440"/>
    <w:rsid w:val="7B2835AF"/>
    <w:rsid w:val="7B3A0E1B"/>
    <w:rsid w:val="7C3056D0"/>
    <w:rsid w:val="7C3F52DB"/>
    <w:rsid w:val="7C7600C7"/>
    <w:rsid w:val="7CCB13D5"/>
    <w:rsid w:val="7CFF2769"/>
    <w:rsid w:val="7D384827"/>
    <w:rsid w:val="7D7221DD"/>
    <w:rsid w:val="7E1B17CB"/>
    <w:rsid w:val="7E5648F6"/>
    <w:rsid w:val="7EA11DF6"/>
    <w:rsid w:val="7ECD49BC"/>
    <w:rsid w:val="7FAA7472"/>
    <w:rsid w:val="7FB22FAF"/>
    <w:rsid w:val="7FFA66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0"/>
    <w:pPr>
      <w:keepNext/>
      <w:spacing w:line="520" w:lineRule="atLeast"/>
      <w:jc w:val="center"/>
      <w:outlineLvl w:val="0"/>
    </w:pPr>
    <w:rPr>
      <w:rFonts w:ascii="楷体_GB2312" w:hAnsi="宋体" w:eastAsia="楷体_GB2312"/>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style>
  <w:style w:type="paragraph" w:styleId="4">
    <w:name w:val="annotation text"/>
    <w:basedOn w:val="1"/>
    <w:link w:val="31"/>
    <w:unhideWhenUsed/>
    <w:qFormat/>
    <w:uiPriority w:val="99"/>
    <w:pPr>
      <w:jc w:val="left"/>
    </w:pPr>
  </w:style>
  <w:style w:type="paragraph" w:styleId="5">
    <w:name w:val="Body Text"/>
    <w:basedOn w:val="1"/>
    <w:link w:val="24"/>
    <w:qFormat/>
    <w:uiPriority w:val="0"/>
    <w:pPr>
      <w:spacing w:after="120"/>
    </w:pPr>
  </w:style>
  <w:style w:type="paragraph" w:styleId="6">
    <w:name w:val="Body Text Indent"/>
    <w:basedOn w:val="1"/>
    <w:link w:val="27"/>
    <w:qFormat/>
    <w:uiPriority w:val="99"/>
    <w:pPr>
      <w:spacing w:line="200" w:lineRule="exact"/>
      <w:ind w:firstLine="301"/>
    </w:pPr>
    <w:rPr>
      <w:rFonts w:ascii="宋体" w:hAnsi="Courier New"/>
      <w:spacing w:val="-4"/>
      <w:sz w:val="18"/>
      <w:szCs w:val="20"/>
    </w:rPr>
  </w:style>
  <w:style w:type="paragraph" w:styleId="7">
    <w:name w:val="Plain Text"/>
    <w:basedOn w:val="1"/>
    <w:link w:val="32"/>
    <w:qFormat/>
    <w:uiPriority w:val="0"/>
    <w:rPr>
      <w:rFonts w:ascii="宋体" w:hAnsi="Courier New"/>
      <w:szCs w:val="20"/>
    </w:rPr>
  </w:style>
  <w:style w:type="paragraph" w:styleId="8">
    <w:name w:val="Date"/>
    <w:basedOn w:val="1"/>
    <w:next w:val="1"/>
    <w:link w:val="26"/>
    <w:qFormat/>
    <w:uiPriority w:val="0"/>
    <w:pPr>
      <w:ind w:left="100" w:leftChars="2500"/>
    </w:pPr>
  </w:style>
  <w:style w:type="paragraph" w:styleId="9">
    <w:name w:val="Body Text Indent 2"/>
    <w:basedOn w:val="1"/>
    <w:link w:val="33"/>
    <w:qFormat/>
    <w:uiPriority w:val="0"/>
    <w:pPr>
      <w:spacing w:after="120" w:line="480" w:lineRule="auto"/>
      <w:ind w:left="420" w:leftChars="200"/>
    </w:p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Subtitle"/>
    <w:basedOn w:val="1"/>
    <w:next w:val="1"/>
    <w:link w:val="25"/>
    <w:qFormat/>
    <w:uiPriority w:val="99"/>
    <w:pPr>
      <w:spacing w:before="240" w:after="60" w:line="312" w:lineRule="auto"/>
      <w:jc w:val="center"/>
      <w:outlineLvl w:val="1"/>
    </w:pPr>
    <w:rPr>
      <w:rFonts w:ascii="Cambria" w:hAnsi="Cambria" w:cs="Cambria"/>
      <w:b/>
      <w:bCs/>
      <w:kern w:val="28"/>
      <w:sz w:val="32"/>
      <w:szCs w:val="32"/>
    </w:rPr>
  </w:style>
  <w:style w:type="paragraph" w:styleId="13">
    <w:name w:val="Body Text 2"/>
    <w:basedOn w:val="1"/>
    <w:link w:val="34"/>
    <w:qFormat/>
    <w:uiPriority w:val="0"/>
    <w:pPr>
      <w:spacing w:after="120" w:line="480" w:lineRule="auto"/>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Hyperlink"/>
    <w:basedOn w:val="17"/>
    <w:qFormat/>
    <w:uiPriority w:val="0"/>
    <w:rPr>
      <w:color w:val="0000FF"/>
      <w:u w:val="single"/>
    </w:rPr>
  </w:style>
  <w:style w:type="paragraph" w:customStyle="1" w:styleId="21">
    <w:name w:val="正文－华文中宋，小四"/>
    <w:basedOn w:val="1"/>
    <w:qFormat/>
    <w:uiPriority w:val="0"/>
    <w:pPr>
      <w:ind w:firstLine="236" w:firstLineChars="236"/>
    </w:pPr>
  </w:style>
  <w:style w:type="character" w:customStyle="1" w:styleId="22">
    <w:name w:val="页脚 Char"/>
    <w:basedOn w:val="17"/>
    <w:link w:val="10"/>
    <w:qFormat/>
    <w:locked/>
    <w:uiPriority w:val="0"/>
    <w:rPr>
      <w:kern w:val="2"/>
      <w:sz w:val="18"/>
      <w:szCs w:val="18"/>
    </w:rPr>
  </w:style>
  <w:style w:type="character" w:customStyle="1" w:styleId="23">
    <w:name w:val="页眉 Char"/>
    <w:basedOn w:val="24"/>
    <w:link w:val="11"/>
    <w:qFormat/>
    <w:uiPriority w:val="99"/>
    <w:rPr>
      <w:kern w:val="2"/>
      <w:sz w:val="18"/>
      <w:szCs w:val="18"/>
    </w:rPr>
  </w:style>
  <w:style w:type="character" w:customStyle="1" w:styleId="24">
    <w:name w:val="正文文本 Char"/>
    <w:basedOn w:val="17"/>
    <w:link w:val="5"/>
    <w:qFormat/>
    <w:uiPriority w:val="0"/>
    <w:rPr>
      <w:kern w:val="2"/>
      <w:sz w:val="21"/>
      <w:szCs w:val="24"/>
    </w:rPr>
  </w:style>
  <w:style w:type="character" w:customStyle="1" w:styleId="25">
    <w:name w:val="副标题 Char"/>
    <w:basedOn w:val="17"/>
    <w:link w:val="12"/>
    <w:qFormat/>
    <w:uiPriority w:val="99"/>
    <w:rPr>
      <w:rFonts w:ascii="Cambria" w:hAnsi="Cambria" w:cs="Cambria"/>
      <w:b/>
      <w:bCs/>
      <w:kern w:val="28"/>
      <w:sz w:val="32"/>
      <w:szCs w:val="32"/>
    </w:rPr>
  </w:style>
  <w:style w:type="character" w:customStyle="1" w:styleId="26">
    <w:name w:val="日期 Char"/>
    <w:basedOn w:val="17"/>
    <w:link w:val="8"/>
    <w:qFormat/>
    <w:uiPriority w:val="0"/>
    <w:rPr>
      <w:kern w:val="2"/>
      <w:sz w:val="21"/>
      <w:szCs w:val="24"/>
    </w:rPr>
  </w:style>
  <w:style w:type="character" w:customStyle="1" w:styleId="27">
    <w:name w:val="正文文本缩进 Char"/>
    <w:basedOn w:val="17"/>
    <w:link w:val="6"/>
    <w:qFormat/>
    <w:uiPriority w:val="0"/>
    <w:rPr>
      <w:rFonts w:ascii="宋体" w:hAnsi="Courier New"/>
      <w:spacing w:val="-4"/>
      <w:kern w:val="2"/>
      <w:sz w:val="18"/>
    </w:rPr>
  </w:style>
  <w:style w:type="character" w:customStyle="1" w:styleId="28">
    <w:name w:val="标题 1 Char"/>
    <w:basedOn w:val="17"/>
    <w:link w:val="3"/>
    <w:qFormat/>
    <w:uiPriority w:val="0"/>
    <w:rPr>
      <w:rFonts w:ascii="楷体_GB2312" w:hAnsi="宋体" w:eastAsia="楷体_GB2312"/>
      <w:kern w:val="2"/>
      <w:sz w:val="28"/>
      <w:szCs w:val="28"/>
    </w:rPr>
  </w:style>
  <w:style w:type="character" w:customStyle="1" w:styleId="29">
    <w:name w:val="ca-3"/>
    <w:basedOn w:val="17"/>
    <w:qFormat/>
    <w:uiPriority w:val="0"/>
  </w:style>
  <w:style w:type="character" w:customStyle="1" w:styleId="30">
    <w:name w:val="纯文本 Char"/>
    <w:link w:val="7"/>
    <w:qFormat/>
    <w:uiPriority w:val="0"/>
    <w:rPr>
      <w:rFonts w:ascii="宋体" w:hAnsi="Courier New"/>
      <w:kern w:val="2"/>
      <w:sz w:val="21"/>
    </w:rPr>
  </w:style>
  <w:style w:type="character" w:customStyle="1" w:styleId="31">
    <w:name w:val="批注文字 Char"/>
    <w:basedOn w:val="17"/>
    <w:link w:val="4"/>
    <w:qFormat/>
    <w:uiPriority w:val="99"/>
    <w:rPr>
      <w:kern w:val="2"/>
      <w:sz w:val="21"/>
      <w:szCs w:val="24"/>
    </w:rPr>
  </w:style>
  <w:style w:type="character" w:customStyle="1" w:styleId="32">
    <w:name w:val="纯文本 Char1"/>
    <w:basedOn w:val="17"/>
    <w:link w:val="7"/>
    <w:qFormat/>
    <w:uiPriority w:val="0"/>
    <w:rPr>
      <w:rFonts w:ascii="宋体" w:hAnsi="Courier New" w:cs="Courier New"/>
      <w:kern w:val="2"/>
      <w:sz w:val="21"/>
      <w:szCs w:val="21"/>
    </w:rPr>
  </w:style>
  <w:style w:type="character" w:customStyle="1" w:styleId="33">
    <w:name w:val="正文文本缩进 2 Char"/>
    <w:basedOn w:val="17"/>
    <w:link w:val="9"/>
    <w:qFormat/>
    <w:uiPriority w:val="0"/>
    <w:rPr>
      <w:kern w:val="2"/>
      <w:sz w:val="21"/>
      <w:szCs w:val="24"/>
    </w:rPr>
  </w:style>
  <w:style w:type="character" w:customStyle="1" w:styleId="34">
    <w:name w:val="正文文本 2 Char"/>
    <w:basedOn w:val="17"/>
    <w:link w:val="13"/>
    <w:qFormat/>
    <w:uiPriority w:val="0"/>
    <w:rPr>
      <w:kern w:val="2"/>
      <w:sz w:val="21"/>
      <w:szCs w:val="24"/>
    </w:rPr>
  </w:style>
  <w:style w:type="paragraph" w:customStyle="1" w:styleId="35">
    <w:name w:val="列出段落1"/>
    <w:basedOn w:val="1"/>
    <w:qFormat/>
    <w:uiPriority w:val="0"/>
    <w:pPr>
      <w:ind w:firstLine="420" w:firstLineChars="200"/>
    </w:pPr>
  </w:style>
  <w:style w:type="paragraph" w:customStyle="1" w:styleId="36">
    <w:name w:val="pa-7"/>
    <w:basedOn w:val="1"/>
    <w:qFormat/>
    <w:uiPriority w:val="0"/>
    <w:pPr>
      <w:widowControl/>
      <w:spacing w:before="150" w:after="150"/>
      <w:jc w:val="left"/>
    </w:pPr>
    <w:rPr>
      <w:rFonts w:ascii="宋体" w:hAnsi="宋体" w:cs="宋体"/>
      <w:kern w:val="0"/>
      <w:sz w:val="24"/>
    </w:rPr>
  </w:style>
  <w:style w:type="paragraph" w:customStyle="1" w:styleId="37">
    <w:name w:val="pa-11"/>
    <w:basedOn w:val="1"/>
    <w:qFormat/>
    <w:uiPriority w:val="0"/>
    <w:pPr>
      <w:widowControl/>
      <w:spacing w:before="150" w:after="150"/>
      <w:jc w:val="left"/>
    </w:pPr>
    <w:rPr>
      <w:rFonts w:ascii="宋体" w:hAnsi="宋体" w:cs="宋体"/>
      <w:kern w:val="0"/>
      <w:sz w:val="24"/>
    </w:rPr>
  </w:style>
  <w:style w:type="paragraph" w:customStyle="1" w:styleId="38">
    <w:name w:val="pa-10"/>
    <w:basedOn w:val="1"/>
    <w:qFormat/>
    <w:uiPriority w:val="0"/>
    <w:pPr>
      <w:widowControl/>
      <w:spacing w:before="150" w:after="150"/>
      <w:jc w:val="left"/>
    </w:pPr>
    <w:rPr>
      <w:rFonts w:ascii="宋体" w:hAnsi="宋体" w:cs="宋体"/>
      <w:kern w:val="0"/>
      <w:sz w:val="24"/>
    </w:r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列出段落2"/>
    <w:basedOn w:val="1"/>
    <w:qFormat/>
    <w:uiPriority w:val="0"/>
    <w:pPr>
      <w:ind w:firstLine="420" w:firstLineChars="200"/>
    </w:pPr>
    <w:rPr>
      <w:szCs w:val="20"/>
    </w:rPr>
  </w:style>
  <w:style w:type="character" w:customStyle="1" w:styleId="41">
    <w:name w:val="font61"/>
    <w:basedOn w:val="17"/>
    <w:qFormat/>
    <w:uiPriority w:val="0"/>
    <w:rPr>
      <w:rFonts w:hint="eastAsia" w:ascii="宋体" w:hAnsi="宋体" w:eastAsia="宋体" w:cs="宋体"/>
      <w:b/>
      <w:color w:val="000000"/>
      <w:sz w:val="22"/>
      <w:szCs w:val="22"/>
      <w:u w:val="none"/>
    </w:rPr>
  </w:style>
  <w:style w:type="character" w:customStyle="1" w:styleId="42">
    <w:name w:val="font91"/>
    <w:basedOn w:val="17"/>
    <w:qFormat/>
    <w:uiPriority w:val="0"/>
    <w:rPr>
      <w:rFonts w:hint="eastAsia" w:ascii="宋体" w:hAnsi="宋体" w:eastAsia="宋体" w:cs="宋体"/>
      <w:b/>
      <w:color w:val="000000"/>
      <w:sz w:val="20"/>
      <w:szCs w:val="20"/>
      <w:u w:val="none"/>
    </w:rPr>
  </w:style>
  <w:style w:type="character" w:customStyle="1" w:styleId="43">
    <w:name w:val="font21"/>
    <w:basedOn w:val="17"/>
    <w:qFormat/>
    <w:uiPriority w:val="0"/>
    <w:rPr>
      <w:rFonts w:hint="eastAsia" w:ascii="宋体" w:hAnsi="宋体" w:eastAsia="宋体" w:cs="宋体"/>
      <w:color w:val="000000"/>
      <w:sz w:val="22"/>
      <w:szCs w:val="22"/>
      <w:u w:val="none"/>
    </w:rPr>
  </w:style>
  <w:style w:type="character" w:customStyle="1" w:styleId="44">
    <w:name w:val="font31"/>
    <w:basedOn w:val="17"/>
    <w:qFormat/>
    <w:uiPriority w:val="0"/>
    <w:rPr>
      <w:rFonts w:hint="eastAsia" w:ascii="宋体" w:hAnsi="宋体" w:eastAsia="宋体" w:cs="宋体"/>
      <w:b/>
      <w:color w:val="000000"/>
      <w:sz w:val="22"/>
      <w:szCs w:val="22"/>
      <w:u w:val="none"/>
    </w:rPr>
  </w:style>
  <w:style w:type="character" w:customStyle="1" w:styleId="45">
    <w:name w:val="font41"/>
    <w:basedOn w:val="17"/>
    <w:qFormat/>
    <w:uiPriority w:val="0"/>
    <w:rPr>
      <w:rFonts w:hint="eastAsia" w:ascii="宋体" w:hAnsi="宋体" w:eastAsia="宋体" w:cs="宋体"/>
      <w:color w:val="000000"/>
      <w:sz w:val="20"/>
      <w:szCs w:val="20"/>
      <w:u w:val="none"/>
    </w:rPr>
  </w:style>
  <w:style w:type="character" w:customStyle="1" w:styleId="46">
    <w:name w:val="font11"/>
    <w:basedOn w:val="17"/>
    <w:qFormat/>
    <w:uiPriority w:val="0"/>
    <w:rPr>
      <w:rFonts w:hint="eastAsia" w:ascii="宋体" w:hAnsi="宋体" w:eastAsia="宋体" w:cs="宋体"/>
      <w:color w:val="000000"/>
      <w:sz w:val="22"/>
      <w:szCs w:val="22"/>
      <w:u w:val="none"/>
    </w:rPr>
  </w:style>
  <w:style w:type="character" w:customStyle="1" w:styleId="47">
    <w:name w:val="font51"/>
    <w:basedOn w:val="17"/>
    <w:qFormat/>
    <w:uiPriority w:val="0"/>
    <w:rPr>
      <w:rFonts w:hint="eastAsia" w:ascii="宋体" w:hAnsi="宋体" w:eastAsia="宋体" w:cs="宋体"/>
      <w:color w:val="000000"/>
      <w:sz w:val="20"/>
      <w:szCs w:val="20"/>
      <w:u w:val="none"/>
    </w:rPr>
  </w:style>
  <w:style w:type="character" w:customStyle="1" w:styleId="48">
    <w:name w:val="font01"/>
    <w:basedOn w:val="17"/>
    <w:qFormat/>
    <w:uiPriority w:val="0"/>
    <w:rPr>
      <w:rFonts w:ascii="Arial" w:hAnsi="Arial" w:cs="Arial"/>
      <w:color w:val="333333"/>
      <w:sz w:val="20"/>
      <w:szCs w:val="20"/>
      <w:u w:val="none"/>
    </w:rPr>
  </w:style>
  <w:style w:type="character" w:customStyle="1" w:styleId="49">
    <w:name w:val="font111"/>
    <w:basedOn w:val="17"/>
    <w:qFormat/>
    <w:uiPriority w:val="0"/>
    <w:rPr>
      <w:rFonts w:hint="eastAsia" w:ascii="宋体" w:hAnsi="宋体" w:eastAsia="宋体" w:cs="宋体"/>
      <w:color w:val="333333"/>
      <w:sz w:val="20"/>
      <w:szCs w:val="20"/>
      <w:u w:val="none"/>
    </w:rPr>
  </w:style>
  <w:style w:type="paragraph" w:customStyle="1" w:styleId="50">
    <w:name w:val="无间隔1"/>
    <w:qFormat/>
    <w:uiPriority w:val="99"/>
    <w:pPr>
      <w:widowControl w:val="0"/>
      <w:jc w:val="both"/>
    </w:pPr>
    <w:rPr>
      <w:rFonts w:ascii="Times New Roman" w:hAnsi="Times New Roman" w:eastAsia="宋体" w:cs="Times New Roman"/>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9640;&#31435;&#26609;&#27604;&#36873;&#25991;&#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71387B-234D-4C23-A328-07660F317A10}">
  <ds:schemaRefs/>
</ds:datastoreItem>
</file>

<file path=docProps/app.xml><?xml version="1.0" encoding="utf-8"?>
<Properties xmlns="http://schemas.openxmlformats.org/officeDocument/2006/extended-properties" xmlns:vt="http://schemas.openxmlformats.org/officeDocument/2006/docPropsVTypes">
  <Template>高立柱比选文件</Template>
  <Company>信念技术论坛</Company>
  <Pages>32</Pages>
  <Words>2035</Words>
  <Characters>11606</Characters>
  <Lines>96</Lines>
  <Paragraphs>27</Paragraphs>
  <TotalTime>3</TotalTime>
  <ScaleCrop>false</ScaleCrop>
  <LinksUpToDate>false</LinksUpToDate>
  <CharactersWithSpaces>13614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2017-01-07T12:37:00Z</dcterms:created>
  <dc:creator>HH</dc:creator>
  <cp:lastModifiedBy>时空连续</cp:lastModifiedBy>
  <cp:lastPrinted>2021-11-09T08:55:00Z</cp:lastPrinted>
  <dcterms:modified xsi:type="dcterms:W3CDTF">2021-11-09T13:35:53Z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686732661_btnclosed</vt:lpwstr>
  </property>
  <property fmtid="{D5CDD505-2E9C-101B-9397-08002B2CF9AE}" pid="4" name="ICV">
    <vt:lpwstr>2F72DB817D314EF9B995DE366C378625</vt:lpwstr>
  </property>
</Properties>
</file>