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hint="eastAsia" w:ascii="宋体" w:hAnsi="宋体" w:cs="宋体"/>
          <w:b/>
          <w:bCs/>
          <w:sz w:val="96"/>
          <w:szCs w:val="96"/>
        </w:rPr>
      </w:pPr>
      <w:bookmarkStart w:id="69" w:name="_GoBack"/>
      <w:bookmarkEnd w:id="69"/>
    </w:p>
    <w:p>
      <w:pPr>
        <w:spacing w:line="1600" w:lineRule="exact"/>
        <w:jc w:val="center"/>
        <w:outlineLvl w:val="0"/>
        <w:rPr>
          <w:rFonts w:hint="eastAsia" w:ascii="宋体" w:hAnsi="宋体" w:cs="宋体"/>
          <w:b/>
          <w:bCs/>
          <w:sz w:val="96"/>
          <w:szCs w:val="96"/>
        </w:rPr>
      </w:pPr>
      <w:r>
        <w:rPr>
          <w:rFonts w:hint="eastAsia" w:ascii="宋体" w:hAnsi="宋体" w:cs="宋体"/>
          <w:b/>
          <w:bCs/>
          <w:sz w:val="96"/>
          <w:szCs w:val="96"/>
        </w:rPr>
        <w:t>招 标 文 件</w:t>
      </w:r>
    </w:p>
    <w:p>
      <w:pPr>
        <w:pStyle w:val="23"/>
        <w:spacing w:line="500" w:lineRule="exact"/>
        <w:ind w:left="0"/>
        <w:jc w:val="center"/>
        <w:rPr>
          <w:rFonts w:hint="eastAsia" w:ascii="宋体" w:hAnsi="宋体" w:cs="宋体"/>
          <w:sz w:val="32"/>
        </w:rPr>
      </w:pPr>
    </w:p>
    <w:p>
      <w:pPr>
        <w:pStyle w:val="23"/>
        <w:spacing w:line="500" w:lineRule="exact"/>
        <w:ind w:left="0"/>
        <w:jc w:val="center"/>
        <w:rPr>
          <w:rFonts w:hint="eastAsia" w:ascii="宋体" w:hAnsi="宋体" w:cs="宋体"/>
          <w:sz w:val="32"/>
        </w:rPr>
      </w:pPr>
    </w:p>
    <w:p>
      <w:pPr>
        <w:pStyle w:val="23"/>
        <w:spacing w:line="500" w:lineRule="exact"/>
        <w:ind w:left="0"/>
        <w:jc w:val="center"/>
        <w:rPr>
          <w:rFonts w:hint="eastAsia" w:ascii="宋体" w:hAnsi="宋体" w:cs="宋体"/>
          <w:sz w:val="32"/>
        </w:rPr>
      </w:pPr>
    </w:p>
    <w:p>
      <w:pPr>
        <w:pStyle w:val="23"/>
        <w:spacing w:line="500" w:lineRule="exact"/>
        <w:ind w:left="0"/>
        <w:jc w:val="center"/>
        <w:rPr>
          <w:rFonts w:hint="eastAsia" w:ascii="宋体" w:hAnsi="宋体" w:cs="宋体"/>
          <w:sz w:val="32"/>
        </w:rPr>
      </w:pPr>
    </w:p>
    <w:p>
      <w:pPr>
        <w:pStyle w:val="23"/>
        <w:spacing w:line="500" w:lineRule="exact"/>
        <w:ind w:left="0"/>
        <w:jc w:val="center"/>
        <w:rPr>
          <w:rFonts w:hint="eastAsia" w:ascii="宋体" w:hAnsi="宋体" w:cs="宋体"/>
          <w:sz w:val="32"/>
        </w:rPr>
      </w:pPr>
    </w:p>
    <w:p>
      <w:pPr>
        <w:pStyle w:val="23"/>
        <w:spacing w:line="500" w:lineRule="exact"/>
        <w:ind w:left="0"/>
        <w:jc w:val="center"/>
        <w:rPr>
          <w:rFonts w:hint="eastAsia" w:ascii="宋体" w:hAnsi="宋体" w:cs="宋体"/>
          <w:sz w:val="32"/>
        </w:rPr>
      </w:pPr>
    </w:p>
    <w:p>
      <w:pPr>
        <w:pStyle w:val="23"/>
        <w:spacing w:line="600" w:lineRule="auto"/>
        <w:ind w:left="958" w:leftChars="342"/>
        <w:jc w:val="left"/>
        <w:outlineLvl w:val="0"/>
        <w:rPr>
          <w:rFonts w:hint="eastAsia" w:ascii="宋体" w:hAnsi="宋体" w:cs="宋体"/>
          <w:sz w:val="30"/>
          <w:szCs w:val="30"/>
        </w:rPr>
      </w:pPr>
      <w:r>
        <w:rPr>
          <w:rFonts w:hint="eastAsia" w:ascii="宋体" w:hAnsi="宋体" w:cs="宋体"/>
          <w:sz w:val="30"/>
          <w:szCs w:val="30"/>
        </w:rPr>
        <w:t>项 目 名 称 ：重庆市万州高级技工学校食堂供应商采购</w:t>
      </w:r>
    </w:p>
    <w:p>
      <w:pPr>
        <w:pStyle w:val="23"/>
        <w:spacing w:line="600" w:lineRule="auto"/>
        <w:ind w:left="958" w:leftChars="342"/>
        <w:jc w:val="left"/>
        <w:outlineLvl w:val="0"/>
        <w:rPr>
          <w:rFonts w:hint="eastAsia" w:ascii="宋体" w:hAnsi="宋体" w:cs="宋体"/>
          <w:sz w:val="30"/>
          <w:szCs w:val="30"/>
        </w:rPr>
      </w:pPr>
      <w:r>
        <w:rPr>
          <w:rFonts w:hint="eastAsia" w:ascii="宋体" w:hAnsi="宋体" w:cs="宋体"/>
          <w:sz w:val="30"/>
          <w:szCs w:val="30"/>
        </w:rPr>
        <w:t>采   购   人：重庆市万州高级技工学校</w:t>
      </w:r>
    </w:p>
    <w:p>
      <w:pPr>
        <w:pStyle w:val="23"/>
        <w:spacing w:line="600" w:lineRule="auto"/>
        <w:ind w:left="958" w:leftChars="342"/>
        <w:jc w:val="left"/>
        <w:outlineLvl w:val="0"/>
        <w:rPr>
          <w:rFonts w:hint="eastAsia" w:ascii="宋体" w:hAnsi="宋体" w:cs="宋体"/>
          <w:sz w:val="30"/>
          <w:szCs w:val="30"/>
        </w:rPr>
      </w:pPr>
      <w:r>
        <w:rPr>
          <w:rFonts w:hint="eastAsia" w:ascii="宋体" w:hAnsi="宋体" w:cs="宋体"/>
          <w:sz w:val="30"/>
          <w:szCs w:val="30"/>
        </w:rPr>
        <w:t>采购代理机构：重庆方郡建设工程咨询有限公司</w:t>
      </w:r>
    </w:p>
    <w:p>
      <w:pPr>
        <w:pStyle w:val="23"/>
        <w:spacing w:line="360" w:lineRule="auto"/>
        <w:ind w:left="958" w:leftChars="342"/>
        <w:jc w:val="left"/>
        <w:outlineLvl w:val="0"/>
        <w:rPr>
          <w:rFonts w:hint="eastAsia" w:ascii="宋体" w:hAnsi="宋体" w:cs="宋体"/>
          <w:sz w:val="30"/>
          <w:szCs w:val="30"/>
        </w:rPr>
      </w:pPr>
    </w:p>
    <w:p>
      <w:pPr>
        <w:snapToGrid w:val="0"/>
        <w:spacing w:line="500" w:lineRule="exact"/>
        <w:jc w:val="center"/>
        <w:rPr>
          <w:rFonts w:hint="eastAsia" w:ascii="宋体" w:hAnsi="宋体" w:cs="宋体"/>
          <w:sz w:val="36"/>
        </w:rPr>
      </w:pPr>
    </w:p>
    <w:p>
      <w:pPr>
        <w:pStyle w:val="2"/>
        <w:rPr>
          <w:rFonts w:hint="eastAsia" w:ascii="宋体" w:hAnsi="宋体" w:cs="宋体"/>
          <w:sz w:val="36"/>
        </w:rPr>
      </w:pPr>
    </w:p>
    <w:p>
      <w:pPr>
        <w:rPr>
          <w:rFonts w:hint="eastAsia"/>
        </w:rPr>
      </w:pPr>
    </w:p>
    <w:p>
      <w:pPr>
        <w:snapToGrid w:val="0"/>
        <w:spacing w:line="500" w:lineRule="exact"/>
        <w:jc w:val="center"/>
        <w:rPr>
          <w:rFonts w:hint="eastAsia" w:ascii="宋体" w:hAnsi="宋体" w:cs="宋体"/>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宋体" w:hAnsi="宋体" w:cs="宋体"/>
          <w:sz w:val="32"/>
          <w:szCs w:val="32"/>
        </w:rPr>
        <w:t>二○</w:t>
      </w:r>
      <w:r>
        <w:rPr>
          <w:rFonts w:hint="eastAsia" w:ascii="宋体" w:hAnsi="宋体" w:cs="宋体"/>
          <w:sz w:val="32"/>
          <w:szCs w:val="32"/>
          <w:lang w:eastAsia="zh-Hans"/>
        </w:rPr>
        <w:t>二</w:t>
      </w:r>
      <w:r>
        <w:rPr>
          <w:rFonts w:hint="eastAsia" w:ascii="宋体" w:hAnsi="宋体" w:cs="宋体"/>
          <w:sz w:val="32"/>
          <w:szCs w:val="32"/>
        </w:rPr>
        <w:t>一年</w:t>
      </w:r>
      <w:r>
        <w:rPr>
          <w:rFonts w:hint="eastAsia" w:ascii="宋体" w:hAnsi="宋体" w:cs="宋体"/>
          <w:sz w:val="32"/>
          <w:szCs w:val="32"/>
          <w:lang w:val="en-US" w:eastAsia="zh-CN"/>
        </w:rPr>
        <w:t>十</w:t>
      </w:r>
      <w:r>
        <w:rPr>
          <w:rFonts w:hint="eastAsia" w:ascii="宋体" w:hAnsi="宋体" w:cs="宋体"/>
          <w:sz w:val="32"/>
          <w:szCs w:val="32"/>
        </w:rPr>
        <w:t>月</w:t>
      </w:r>
    </w:p>
    <w:p>
      <w:pPr>
        <w:snapToGrid w:val="0"/>
        <w:spacing w:line="500" w:lineRule="exact"/>
        <w:jc w:val="center"/>
        <w:rPr>
          <w:rFonts w:hint="eastAsia" w:ascii="仿宋" w:hAnsi="仿宋" w:eastAsia="仿宋"/>
          <w:sz w:val="44"/>
        </w:rPr>
      </w:pPr>
      <w:r>
        <w:rPr>
          <w:rFonts w:hint="eastAsia" w:ascii="仿宋" w:hAnsi="仿宋" w:eastAsia="仿宋"/>
          <w:sz w:val="44"/>
        </w:rPr>
        <w:t>目  录</w:t>
      </w:r>
    </w:p>
    <w:p>
      <w:pPr>
        <w:pStyle w:val="37"/>
        <w:tabs>
          <w:tab w:val="right" w:leader="dot" w:pos="9412"/>
          <w:tab w:val="clear" w:pos="1260"/>
          <w:tab w:val="clear" w:pos="1685"/>
          <w:tab w:val="clear" w:pos="8400"/>
        </w:tabs>
        <w:ind w:firstLine="210"/>
      </w:pPr>
      <w:r>
        <w:rPr>
          <w:rFonts w:hint="eastAsia" w:ascii="仿宋" w:hAnsi="仿宋" w:eastAsia="仿宋"/>
          <w:sz w:val="21"/>
          <w:szCs w:val="21"/>
        </w:rPr>
        <w:fldChar w:fldCharType="begin"/>
      </w:r>
      <w:r>
        <w:rPr>
          <w:rFonts w:hint="eastAsia" w:ascii="仿宋" w:hAnsi="仿宋" w:eastAsia="仿宋"/>
          <w:sz w:val="21"/>
          <w:szCs w:val="21"/>
        </w:rPr>
        <w:instrText xml:space="preserve"> TOC \o "1-2" \h \z </w:instrText>
      </w:r>
      <w:r>
        <w:rPr>
          <w:rFonts w:hint="eastAsia" w:ascii="仿宋" w:hAnsi="仿宋" w:eastAsia="仿宋"/>
          <w:sz w:val="21"/>
          <w:szCs w:val="21"/>
        </w:rPr>
        <w:fldChar w:fldCharType="separate"/>
      </w:r>
      <w:r>
        <w:rPr>
          <w:rFonts w:hint="eastAsia" w:ascii="仿宋" w:hAnsi="仿宋" w:eastAsia="仿宋"/>
          <w:szCs w:val="21"/>
        </w:rPr>
        <w:fldChar w:fldCharType="begin"/>
      </w:r>
      <w:r>
        <w:rPr>
          <w:rFonts w:hint="eastAsia" w:ascii="仿宋" w:hAnsi="仿宋" w:eastAsia="仿宋"/>
          <w:szCs w:val="21"/>
        </w:rPr>
        <w:instrText xml:space="preserve"> HYPERLINK \l _Toc18829 </w:instrText>
      </w:r>
      <w:r>
        <w:rPr>
          <w:rFonts w:hint="eastAsia" w:ascii="仿宋" w:hAnsi="仿宋" w:eastAsia="仿宋"/>
          <w:szCs w:val="21"/>
        </w:rPr>
        <w:fldChar w:fldCharType="separate"/>
      </w:r>
      <w:r>
        <w:rPr>
          <w:rFonts w:ascii="仿宋" w:hAnsi="仿宋" w:eastAsia="仿宋"/>
        </w:rPr>
        <w:t>第一篇</w:t>
      </w:r>
      <w:r>
        <w:rPr>
          <w:rFonts w:hint="eastAsia" w:ascii="仿宋" w:hAnsi="仿宋" w:eastAsia="仿宋"/>
        </w:rPr>
        <w:t xml:space="preserve"> 投标邀请书</w:t>
      </w:r>
      <w:r>
        <w:tab/>
      </w:r>
      <w:r>
        <w:fldChar w:fldCharType="begin"/>
      </w:r>
      <w:r>
        <w:instrText xml:space="preserve"> PAGEREF _Toc18829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_Toc314 </w:instrText>
      </w:r>
      <w:r>
        <w:rPr>
          <w:rFonts w:hint="eastAsia" w:ascii="仿宋" w:hAnsi="仿宋" w:eastAsia="仿宋"/>
          <w:szCs w:val="21"/>
        </w:rPr>
        <w:fldChar w:fldCharType="separate"/>
      </w:r>
      <w:r>
        <w:rPr>
          <w:rFonts w:hint="eastAsia" w:ascii="仿宋" w:hAnsi="仿宋" w:eastAsia="仿宋"/>
        </w:rPr>
        <w:t>一、招标项目内容</w:t>
      </w:r>
      <w:r>
        <w:tab/>
      </w:r>
      <w:r>
        <w:fldChar w:fldCharType="begin"/>
      </w:r>
      <w:r>
        <w:instrText xml:space="preserve"> PAGEREF _Toc314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_Toc6374 </w:instrText>
      </w:r>
      <w:r>
        <w:rPr>
          <w:rFonts w:hint="eastAsia" w:ascii="仿宋" w:hAnsi="仿宋" w:eastAsia="仿宋"/>
          <w:szCs w:val="21"/>
        </w:rPr>
        <w:fldChar w:fldCharType="separate"/>
      </w:r>
      <w:r>
        <w:rPr>
          <w:rFonts w:hint="eastAsia" w:ascii="仿宋" w:hAnsi="仿宋" w:eastAsia="仿宋"/>
        </w:rPr>
        <w:t>二、资金来源</w:t>
      </w:r>
      <w:r>
        <w:tab/>
      </w:r>
      <w:r>
        <w:fldChar w:fldCharType="begin"/>
      </w:r>
      <w:r>
        <w:instrText xml:space="preserve"> PAGEREF _Toc6374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_Toc25397 </w:instrText>
      </w:r>
      <w:r>
        <w:rPr>
          <w:rFonts w:hint="eastAsia" w:ascii="仿宋" w:hAnsi="仿宋" w:eastAsia="仿宋"/>
          <w:szCs w:val="21"/>
        </w:rPr>
        <w:fldChar w:fldCharType="separate"/>
      </w:r>
      <w:r>
        <w:rPr>
          <w:rFonts w:hint="eastAsia" w:ascii="仿宋" w:hAnsi="仿宋" w:eastAsia="仿宋"/>
        </w:rPr>
        <w:t>三、投标人资格要求</w:t>
      </w:r>
      <w:r>
        <w:tab/>
      </w:r>
      <w:r>
        <w:fldChar w:fldCharType="begin"/>
      </w:r>
      <w:r>
        <w:instrText xml:space="preserve"> PAGEREF _Toc25397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_Toc10243 </w:instrText>
      </w:r>
      <w:r>
        <w:rPr>
          <w:rFonts w:hint="eastAsia" w:ascii="仿宋" w:hAnsi="仿宋" w:eastAsia="仿宋"/>
          <w:szCs w:val="21"/>
        </w:rPr>
        <w:fldChar w:fldCharType="separate"/>
      </w:r>
      <w:r>
        <w:rPr>
          <w:rFonts w:hint="eastAsia" w:ascii="仿宋" w:hAnsi="仿宋" w:eastAsia="仿宋"/>
        </w:rPr>
        <w:t>四、投标、开标有关说明</w:t>
      </w:r>
      <w:r>
        <w:tab/>
      </w:r>
      <w:r>
        <w:fldChar w:fldCharType="begin"/>
      </w:r>
      <w:r>
        <w:instrText xml:space="preserve"> PAGEREF _Toc10243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_Toc10075 </w:instrText>
      </w:r>
      <w:r>
        <w:rPr>
          <w:rFonts w:hint="eastAsia" w:ascii="仿宋" w:hAnsi="仿宋" w:eastAsia="仿宋"/>
          <w:szCs w:val="21"/>
        </w:rPr>
        <w:fldChar w:fldCharType="separate"/>
      </w:r>
      <w:r>
        <w:rPr>
          <w:rFonts w:hint="eastAsia" w:ascii="仿宋" w:hAnsi="仿宋" w:eastAsia="仿宋"/>
        </w:rPr>
        <w:t>五、投标保证金</w:t>
      </w:r>
      <w:r>
        <w:tab/>
      </w:r>
      <w:r>
        <w:fldChar w:fldCharType="begin"/>
      </w:r>
      <w:r>
        <w:instrText xml:space="preserve"> PAGEREF _Toc10075 \h </w:instrText>
      </w:r>
      <w:r>
        <w:fldChar w:fldCharType="separate"/>
      </w:r>
      <w:r>
        <w:t>- 4 -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_Toc21817 </w:instrText>
      </w:r>
      <w:r>
        <w:rPr>
          <w:rFonts w:hint="eastAsia" w:ascii="仿宋" w:hAnsi="仿宋" w:eastAsia="仿宋"/>
          <w:szCs w:val="21"/>
        </w:rPr>
        <w:fldChar w:fldCharType="separate"/>
      </w:r>
      <w:r>
        <w:rPr>
          <w:rFonts w:hint="eastAsia" w:ascii="仿宋" w:hAnsi="仿宋" w:eastAsia="仿宋"/>
        </w:rPr>
        <w:t>六、投标有关规定</w:t>
      </w:r>
      <w:r>
        <w:tab/>
      </w:r>
      <w:r>
        <w:fldChar w:fldCharType="begin"/>
      </w:r>
      <w:r>
        <w:instrText xml:space="preserve"> PAGEREF _Toc21817 \h </w:instrText>
      </w:r>
      <w:r>
        <w:fldChar w:fldCharType="separate"/>
      </w:r>
      <w:r>
        <w:t>- 5 -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_Toc18526 </w:instrText>
      </w:r>
      <w:r>
        <w:rPr>
          <w:rFonts w:hint="eastAsia" w:ascii="仿宋" w:hAnsi="仿宋" w:eastAsia="仿宋"/>
          <w:szCs w:val="21"/>
        </w:rPr>
        <w:fldChar w:fldCharType="separate"/>
      </w:r>
      <w:r>
        <w:rPr>
          <w:rFonts w:hint="eastAsia" w:ascii="仿宋" w:hAnsi="仿宋" w:eastAsia="仿宋"/>
        </w:rPr>
        <w:t>八、联系方式</w:t>
      </w:r>
      <w:r>
        <w:tab/>
      </w:r>
      <w:r>
        <w:fldChar w:fldCharType="begin"/>
      </w:r>
      <w:r>
        <w:instrText xml:space="preserve"> PAGEREF _Toc18526 \h </w:instrText>
      </w:r>
      <w:r>
        <w:fldChar w:fldCharType="separate"/>
      </w:r>
      <w:r>
        <w:t>- 5 -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_Toc14176 </w:instrText>
      </w:r>
      <w:r>
        <w:rPr>
          <w:rFonts w:hint="eastAsia" w:ascii="仿宋" w:hAnsi="仿宋" w:eastAsia="仿宋"/>
          <w:szCs w:val="21"/>
        </w:rPr>
        <w:fldChar w:fldCharType="separate"/>
      </w:r>
      <w:r>
        <w:rPr>
          <w:rFonts w:hint="eastAsia" w:ascii="仿宋" w:hAnsi="仿宋" w:eastAsia="仿宋"/>
        </w:rPr>
        <w:t>第二篇 项目技术规格、数量及质量要求</w:t>
      </w:r>
      <w:r>
        <w:tab/>
      </w:r>
      <w:r>
        <w:fldChar w:fldCharType="begin"/>
      </w:r>
      <w:r>
        <w:instrText xml:space="preserve"> PAGEREF _Toc14176 \h </w:instrText>
      </w:r>
      <w:r>
        <w:fldChar w:fldCharType="separate"/>
      </w:r>
      <w:r>
        <w:t>- 6 -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_Toc5368 </w:instrText>
      </w:r>
      <w:r>
        <w:rPr>
          <w:rFonts w:hint="eastAsia" w:ascii="仿宋" w:hAnsi="仿宋" w:eastAsia="仿宋"/>
          <w:szCs w:val="21"/>
        </w:rPr>
        <w:fldChar w:fldCharType="separate"/>
      </w:r>
      <w:r>
        <w:rPr>
          <w:rFonts w:hint="eastAsia" w:ascii="仿宋" w:hAnsi="仿宋" w:eastAsia="仿宋"/>
        </w:rPr>
        <w:t>一、招标项目一览表</w:t>
      </w:r>
      <w:r>
        <w:tab/>
      </w:r>
      <w:r>
        <w:fldChar w:fldCharType="begin"/>
      </w:r>
      <w:r>
        <w:instrText xml:space="preserve"> PAGEREF _Toc5368 \h </w:instrText>
      </w:r>
      <w:r>
        <w:fldChar w:fldCharType="separate"/>
      </w:r>
      <w:r>
        <w:t>- 6 -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_Toc12420 </w:instrText>
      </w:r>
      <w:r>
        <w:rPr>
          <w:rFonts w:hint="eastAsia" w:ascii="仿宋" w:hAnsi="仿宋" w:eastAsia="仿宋"/>
          <w:szCs w:val="21"/>
        </w:rPr>
        <w:fldChar w:fldCharType="separate"/>
      </w:r>
      <w:r>
        <w:rPr>
          <w:rFonts w:hint="eastAsia" w:ascii="仿宋" w:hAnsi="仿宋" w:eastAsia="仿宋"/>
        </w:rPr>
        <w:t>二、招标项目技术需求</w:t>
      </w:r>
      <w:r>
        <w:tab/>
      </w:r>
      <w:r>
        <w:fldChar w:fldCharType="begin"/>
      </w:r>
      <w:r>
        <w:instrText xml:space="preserve"> PAGEREF _Toc12420 \h </w:instrText>
      </w:r>
      <w:r>
        <w:fldChar w:fldCharType="separate"/>
      </w:r>
      <w:r>
        <w:t>- 6 -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_Toc25689 </w:instrText>
      </w:r>
      <w:r>
        <w:rPr>
          <w:rFonts w:hint="eastAsia" w:ascii="仿宋" w:hAnsi="仿宋" w:eastAsia="仿宋"/>
          <w:szCs w:val="21"/>
        </w:rPr>
        <w:fldChar w:fldCharType="separate"/>
      </w:r>
      <w:r>
        <w:rPr>
          <w:rFonts w:hint="eastAsia" w:ascii="仿宋" w:hAnsi="仿宋" w:eastAsia="仿宋"/>
        </w:rPr>
        <w:t>第三篇  项目商务要求</w:t>
      </w:r>
      <w:r>
        <w:tab/>
      </w:r>
      <w:r>
        <w:fldChar w:fldCharType="begin"/>
      </w:r>
      <w:r>
        <w:instrText xml:space="preserve"> PAGEREF _Toc25689 \h </w:instrText>
      </w:r>
      <w:r>
        <w:fldChar w:fldCharType="separate"/>
      </w:r>
      <w:r>
        <w:t>- 11 -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_Toc2844 </w:instrText>
      </w:r>
      <w:r>
        <w:rPr>
          <w:rFonts w:hint="eastAsia" w:ascii="仿宋" w:hAnsi="仿宋" w:eastAsia="仿宋"/>
          <w:szCs w:val="21"/>
        </w:rPr>
        <w:fldChar w:fldCharType="separate"/>
      </w:r>
      <w:r>
        <w:rPr>
          <w:rFonts w:hint="eastAsia" w:ascii="仿宋" w:hAnsi="仿宋" w:eastAsia="仿宋"/>
        </w:rPr>
        <w:t>第四篇  资格审查及评标办法</w:t>
      </w:r>
      <w:r>
        <w:tab/>
      </w:r>
      <w:r>
        <w:fldChar w:fldCharType="begin"/>
      </w:r>
      <w:r>
        <w:instrText xml:space="preserve"> PAGEREF _Toc2844 \h </w:instrText>
      </w:r>
      <w:r>
        <w:fldChar w:fldCharType="separate"/>
      </w:r>
      <w:r>
        <w:t>- 14 -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_Toc3835 </w:instrText>
      </w:r>
      <w:r>
        <w:rPr>
          <w:rFonts w:hint="eastAsia" w:ascii="仿宋" w:hAnsi="仿宋" w:eastAsia="仿宋"/>
          <w:szCs w:val="21"/>
        </w:rPr>
        <w:fldChar w:fldCharType="separate"/>
      </w:r>
      <w:r>
        <w:rPr>
          <w:rFonts w:hint="eastAsia" w:ascii="仿宋" w:hAnsi="仿宋" w:eastAsia="仿宋"/>
          <w:szCs w:val="24"/>
        </w:rPr>
        <w:t>一、资格审查</w:t>
      </w:r>
      <w:r>
        <w:tab/>
      </w:r>
      <w:r>
        <w:fldChar w:fldCharType="begin"/>
      </w:r>
      <w:r>
        <w:instrText xml:space="preserve"> PAGEREF _Toc3835 \h </w:instrText>
      </w:r>
      <w:r>
        <w:fldChar w:fldCharType="separate"/>
      </w:r>
      <w:r>
        <w:t>- 14 -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_Toc7706 </w:instrText>
      </w:r>
      <w:r>
        <w:rPr>
          <w:rFonts w:hint="eastAsia" w:ascii="仿宋" w:hAnsi="仿宋" w:eastAsia="仿宋"/>
          <w:szCs w:val="21"/>
        </w:rPr>
        <w:fldChar w:fldCharType="separate"/>
      </w:r>
      <w:r>
        <w:rPr>
          <w:rFonts w:hint="eastAsia" w:ascii="仿宋" w:hAnsi="仿宋" w:eastAsia="仿宋"/>
          <w:szCs w:val="24"/>
        </w:rPr>
        <w:t>二、评标方法</w:t>
      </w:r>
      <w:r>
        <w:tab/>
      </w:r>
      <w:r>
        <w:fldChar w:fldCharType="begin"/>
      </w:r>
      <w:r>
        <w:instrText xml:space="preserve"> PAGEREF _Toc7706 \h </w:instrText>
      </w:r>
      <w:r>
        <w:fldChar w:fldCharType="separate"/>
      </w:r>
      <w:r>
        <w:t>- 15 -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_Toc22266 </w:instrText>
      </w:r>
      <w:r>
        <w:rPr>
          <w:rFonts w:hint="eastAsia" w:ascii="仿宋" w:hAnsi="仿宋" w:eastAsia="仿宋"/>
          <w:szCs w:val="21"/>
        </w:rPr>
        <w:fldChar w:fldCharType="separate"/>
      </w:r>
      <w:r>
        <w:rPr>
          <w:rFonts w:hint="eastAsia"/>
        </w:rPr>
        <w:t xml:space="preserve">三、 </w:t>
      </w:r>
      <w:r>
        <w:rPr>
          <w:rFonts w:hint="eastAsia" w:ascii="仿宋" w:hAnsi="仿宋" w:eastAsia="仿宋"/>
          <w:szCs w:val="24"/>
        </w:rPr>
        <w:t>评标标准</w:t>
      </w:r>
      <w:r>
        <w:tab/>
      </w:r>
      <w:r>
        <w:fldChar w:fldCharType="begin"/>
      </w:r>
      <w:r>
        <w:instrText xml:space="preserve"> PAGEREF _Toc22266 \h </w:instrText>
      </w:r>
      <w:r>
        <w:fldChar w:fldCharType="separate"/>
      </w:r>
      <w:r>
        <w:t>- 16 -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_Toc5708 </w:instrText>
      </w:r>
      <w:r>
        <w:rPr>
          <w:rFonts w:hint="eastAsia" w:ascii="仿宋" w:hAnsi="仿宋" w:eastAsia="仿宋"/>
          <w:szCs w:val="21"/>
        </w:rPr>
        <w:fldChar w:fldCharType="separate"/>
      </w:r>
      <w:r>
        <w:rPr>
          <w:rFonts w:hint="eastAsia" w:ascii="仿宋" w:hAnsi="仿宋" w:eastAsia="仿宋"/>
          <w:szCs w:val="24"/>
        </w:rPr>
        <w:t>四、无效投标条款</w:t>
      </w:r>
      <w:r>
        <w:tab/>
      </w:r>
      <w:r>
        <w:fldChar w:fldCharType="begin"/>
      </w:r>
      <w:r>
        <w:instrText xml:space="preserve"> PAGEREF _Toc5708 \h </w:instrText>
      </w:r>
      <w:r>
        <w:fldChar w:fldCharType="separate"/>
      </w:r>
      <w:r>
        <w:t>- 17 -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_Toc1137 </w:instrText>
      </w:r>
      <w:r>
        <w:rPr>
          <w:rFonts w:hint="eastAsia" w:ascii="仿宋" w:hAnsi="仿宋" w:eastAsia="仿宋"/>
          <w:szCs w:val="21"/>
        </w:rPr>
        <w:fldChar w:fldCharType="separate"/>
      </w:r>
      <w:r>
        <w:rPr>
          <w:rFonts w:hint="eastAsia" w:ascii="仿宋" w:hAnsi="仿宋" w:eastAsia="仿宋"/>
          <w:szCs w:val="24"/>
        </w:rPr>
        <w:t>五、废标条款</w:t>
      </w:r>
      <w:r>
        <w:tab/>
      </w:r>
      <w:r>
        <w:fldChar w:fldCharType="begin"/>
      </w:r>
      <w:r>
        <w:instrText xml:space="preserve"> PAGEREF _Toc1137 \h </w:instrText>
      </w:r>
      <w:r>
        <w:fldChar w:fldCharType="separate"/>
      </w:r>
      <w:r>
        <w:t>- 17 -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_Toc14305 </w:instrText>
      </w:r>
      <w:r>
        <w:rPr>
          <w:rFonts w:hint="eastAsia" w:ascii="仿宋" w:hAnsi="仿宋" w:eastAsia="仿宋"/>
          <w:szCs w:val="21"/>
        </w:rPr>
        <w:fldChar w:fldCharType="separate"/>
      </w:r>
      <w:r>
        <w:rPr>
          <w:rFonts w:hint="eastAsia" w:ascii="仿宋" w:hAnsi="仿宋" w:eastAsia="仿宋"/>
        </w:rPr>
        <w:t>第五篇  投标人须知</w:t>
      </w:r>
      <w:r>
        <w:tab/>
      </w:r>
      <w:r>
        <w:fldChar w:fldCharType="begin"/>
      </w:r>
      <w:r>
        <w:instrText xml:space="preserve"> PAGEREF _Toc14305 \h </w:instrText>
      </w:r>
      <w:r>
        <w:fldChar w:fldCharType="separate"/>
      </w:r>
      <w:r>
        <w:t>- 19 -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_Toc23908 </w:instrText>
      </w:r>
      <w:r>
        <w:rPr>
          <w:rFonts w:hint="eastAsia" w:ascii="仿宋" w:hAnsi="仿宋" w:eastAsia="仿宋"/>
          <w:szCs w:val="21"/>
        </w:rPr>
        <w:fldChar w:fldCharType="separate"/>
      </w:r>
      <w:r>
        <w:rPr>
          <w:rFonts w:hint="eastAsia" w:ascii="仿宋" w:hAnsi="仿宋" w:eastAsia="仿宋"/>
        </w:rPr>
        <w:t>一、投标人</w:t>
      </w:r>
      <w:r>
        <w:tab/>
      </w:r>
      <w:r>
        <w:fldChar w:fldCharType="begin"/>
      </w:r>
      <w:r>
        <w:instrText xml:space="preserve"> PAGEREF _Toc23908 \h </w:instrText>
      </w:r>
      <w:r>
        <w:fldChar w:fldCharType="separate"/>
      </w:r>
      <w:r>
        <w:t>- 19 -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_Toc16664 </w:instrText>
      </w:r>
      <w:r>
        <w:rPr>
          <w:rFonts w:hint="eastAsia" w:ascii="仿宋" w:hAnsi="仿宋" w:eastAsia="仿宋"/>
          <w:szCs w:val="21"/>
        </w:rPr>
        <w:fldChar w:fldCharType="separate"/>
      </w:r>
      <w:r>
        <w:rPr>
          <w:rFonts w:hint="eastAsia" w:ascii="仿宋" w:hAnsi="仿宋" w:eastAsia="仿宋"/>
        </w:rPr>
        <w:t>二、招标文件</w:t>
      </w:r>
      <w:r>
        <w:tab/>
      </w:r>
      <w:r>
        <w:fldChar w:fldCharType="begin"/>
      </w:r>
      <w:r>
        <w:instrText xml:space="preserve"> PAGEREF _Toc16664 \h </w:instrText>
      </w:r>
      <w:r>
        <w:fldChar w:fldCharType="separate"/>
      </w:r>
      <w:r>
        <w:t>- 19 -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_Toc7732 </w:instrText>
      </w:r>
      <w:r>
        <w:rPr>
          <w:rFonts w:hint="eastAsia" w:ascii="仿宋" w:hAnsi="仿宋" w:eastAsia="仿宋"/>
          <w:szCs w:val="21"/>
        </w:rPr>
        <w:fldChar w:fldCharType="separate"/>
      </w:r>
      <w:r>
        <w:rPr>
          <w:rFonts w:hint="eastAsia" w:ascii="仿宋" w:hAnsi="仿宋" w:eastAsia="仿宋"/>
        </w:rPr>
        <w:t>三、投标文件</w:t>
      </w:r>
      <w:r>
        <w:tab/>
      </w:r>
      <w:r>
        <w:fldChar w:fldCharType="begin"/>
      </w:r>
      <w:r>
        <w:instrText xml:space="preserve"> PAGEREF _Toc7732 \h </w:instrText>
      </w:r>
      <w:r>
        <w:fldChar w:fldCharType="separate"/>
      </w:r>
      <w:r>
        <w:t>- 19 -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_Toc8033 </w:instrText>
      </w:r>
      <w:r>
        <w:rPr>
          <w:rFonts w:hint="eastAsia" w:ascii="仿宋" w:hAnsi="仿宋" w:eastAsia="仿宋"/>
          <w:szCs w:val="21"/>
        </w:rPr>
        <w:fldChar w:fldCharType="separate"/>
      </w:r>
      <w:r>
        <w:rPr>
          <w:rFonts w:hint="eastAsia" w:ascii="仿宋" w:hAnsi="仿宋" w:eastAsia="仿宋"/>
        </w:rPr>
        <w:t>四、开标</w:t>
      </w:r>
      <w:r>
        <w:tab/>
      </w:r>
      <w:r>
        <w:fldChar w:fldCharType="begin"/>
      </w:r>
      <w:r>
        <w:instrText xml:space="preserve"> PAGEREF _Toc8033 \h </w:instrText>
      </w:r>
      <w:r>
        <w:fldChar w:fldCharType="separate"/>
      </w:r>
      <w:r>
        <w:t>- 21 -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_Toc32459 </w:instrText>
      </w:r>
      <w:r>
        <w:rPr>
          <w:rFonts w:hint="eastAsia" w:ascii="仿宋" w:hAnsi="仿宋" w:eastAsia="仿宋"/>
          <w:szCs w:val="21"/>
        </w:rPr>
        <w:fldChar w:fldCharType="separate"/>
      </w:r>
      <w:r>
        <w:rPr>
          <w:rFonts w:hint="eastAsia" w:ascii="仿宋" w:hAnsi="仿宋" w:eastAsia="仿宋"/>
        </w:rPr>
        <w:t>五、评标</w:t>
      </w:r>
      <w:r>
        <w:tab/>
      </w:r>
      <w:r>
        <w:fldChar w:fldCharType="begin"/>
      </w:r>
      <w:r>
        <w:instrText xml:space="preserve"> PAGEREF _Toc32459 \h </w:instrText>
      </w:r>
      <w:r>
        <w:fldChar w:fldCharType="separate"/>
      </w:r>
      <w:r>
        <w:t>- 21 -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_Toc29295 </w:instrText>
      </w:r>
      <w:r>
        <w:rPr>
          <w:rFonts w:hint="eastAsia" w:ascii="仿宋" w:hAnsi="仿宋" w:eastAsia="仿宋"/>
          <w:szCs w:val="21"/>
        </w:rPr>
        <w:fldChar w:fldCharType="separate"/>
      </w:r>
      <w:r>
        <w:rPr>
          <w:rFonts w:hint="eastAsia" w:ascii="仿宋" w:hAnsi="仿宋" w:eastAsia="仿宋"/>
        </w:rPr>
        <w:t>六、定标</w:t>
      </w:r>
      <w:r>
        <w:tab/>
      </w:r>
      <w:r>
        <w:fldChar w:fldCharType="begin"/>
      </w:r>
      <w:r>
        <w:instrText xml:space="preserve"> PAGEREF _Toc29295 \h </w:instrText>
      </w:r>
      <w:r>
        <w:fldChar w:fldCharType="separate"/>
      </w:r>
      <w:r>
        <w:t>- 21 -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_Toc29128 </w:instrText>
      </w:r>
      <w:r>
        <w:rPr>
          <w:rFonts w:hint="eastAsia" w:ascii="仿宋" w:hAnsi="仿宋" w:eastAsia="仿宋"/>
          <w:szCs w:val="21"/>
        </w:rPr>
        <w:fldChar w:fldCharType="separate"/>
      </w:r>
      <w:r>
        <w:rPr>
          <w:rFonts w:hint="eastAsia" w:ascii="仿宋" w:hAnsi="仿宋" w:eastAsia="仿宋"/>
        </w:rPr>
        <w:t>七、中标通知书</w:t>
      </w:r>
      <w:r>
        <w:tab/>
      </w:r>
      <w:r>
        <w:fldChar w:fldCharType="begin"/>
      </w:r>
      <w:r>
        <w:instrText xml:space="preserve"> PAGEREF _Toc29128 \h </w:instrText>
      </w:r>
      <w:r>
        <w:fldChar w:fldCharType="separate"/>
      </w:r>
      <w:r>
        <w:t>- 22 -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_Toc29978 </w:instrText>
      </w:r>
      <w:r>
        <w:rPr>
          <w:rFonts w:hint="eastAsia" w:ascii="仿宋" w:hAnsi="仿宋" w:eastAsia="仿宋"/>
          <w:szCs w:val="21"/>
        </w:rPr>
        <w:fldChar w:fldCharType="separate"/>
      </w:r>
      <w:r>
        <w:rPr>
          <w:rFonts w:hint="eastAsia" w:ascii="仿宋" w:hAnsi="仿宋" w:eastAsia="仿宋"/>
        </w:rPr>
        <w:t>八、</w:t>
      </w:r>
      <w:r>
        <w:rPr>
          <w:rFonts w:hint="eastAsia" w:ascii="仿宋" w:hAnsi="仿宋" w:eastAsia="仿宋" w:cs="仿宋"/>
        </w:rPr>
        <w:t>询问、质疑和投诉</w:t>
      </w:r>
      <w:r>
        <w:tab/>
      </w:r>
      <w:r>
        <w:fldChar w:fldCharType="begin"/>
      </w:r>
      <w:r>
        <w:instrText xml:space="preserve"> PAGEREF _Toc29978 \h </w:instrText>
      </w:r>
      <w:r>
        <w:fldChar w:fldCharType="separate"/>
      </w:r>
      <w:r>
        <w:t>- 22 -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_Toc30334 </w:instrText>
      </w:r>
      <w:r>
        <w:rPr>
          <w:rFonts w:hint="eastAsia" w:ascii="仿宋" w:hAnsi="仿宋" w:eastAsia="仿宋"/>
          <w:szCs w:val="21"/>
        </w:rPr>
        <w:fldChar w:fldCharType="separate"/>
      </w:r>
      <w:r>
        <w:rPr>
          <w:rFonts w:hint="eastAsia" w:ascii="仿宋" w:hAnsi="仿宋" w:eastAsia="仿宋"/>
        </w:rPr>
        <w:t>九、签订合同</w:t>
      </w:r>
      <w:r>
        <w:tab/>
      </w:r>
      <w:r>
        <w:fldChar w:fldCharType="begin"/>
      </w:r>
      <w:r>
        <w:instrText xml:space="preserve"> PAGEREF _Toc30334 \h </w:instrText>
      </w:r>
      <w:r>
        <w:fldChar w:fldCharType="separate"/>
      </w:r>
      <w:r>
        <w:t>- 23 -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_Toc25082 </w:instrText>
      </w:r>
      <w:r>
        <w:rPr>
          <w:rFonts w:hint="eastAsia" w:ascii="仿宋" w:hAnsi="仿宋" w:eastAsia="仿宋"/>
          <w:szCs w:val="21"/>
        </w:rPr>
        <w:fldChar w:fldCharType="separate"/>
      </w:r>
      <w:r>
        <w:rPr>
          <w:rFonts w:hint="eastAsia" w:ascii="仿宋" w:hAnsi="仿宋" w:eastAsia="仿宋"/>
        </w:rPr>
        <w:t>第六篇  合同主要条款和格式合同（样本）</w:t>
      </w:r>
      <w:r>
        <w:tab/>
      </w:r>
      <w:r>
        <w:fldChar w:fldCharType="begin"/>
      </w:r>
      <w:r>
        <w:instrText xml:space="preserve"> PAGEREF _Toc25082 \h </w:instrText>
      </w:r>
      <w:r>
        <w:fldChar w:fldCharType="separate"/>
      </w:r>
      <w:r>
        <w:t>- 24 -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_Toc23428 </w:instrText>
      </w:r>
      <w:r>
        <w:rPr>
          <w:rFonts w:hint="eastAsia" w:ascii="仿宋" w:hAnsi="仿宋" w:eastAsia="仿宋"/>
          <w:szCs w:val="21"/>
        </w:rPr>
        <w:fldChar w:fldCharType="separate"/>
      </w:r>
      <w:r>
        <w:rPr>
          <w:rFonts w:hint="eastAsia" w:ascii="仿宋" w:hAnsi="仿宋" w:eastAsia="仿宋"/>
        </w:rPr>
        <w:t>一、合同主要条款</w:t>
      </w:r>
      <w:r>
        <w:tab/>
      </w:r>
      <w:r>
        <w:fldChar w:fldCharType="begin"/>
      </w:r>
      <w:r>
        <w:instrText xml:space="preserve"> PAGEREF _Toc23428 \h </w:instrText>
      </w:r>
      <w:r>
        <w:fldChar w:fldCharType="separate"/>
      </w:r>
      <w:r>
        <w:t>- 24 -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_Toc23067 </w:instrText>
      </w:r>
      <w:r>
        <w:rPr>
          <w:rFonts w:hint="eastAsia" w:ascii="仿宋" w:hAnsi="仿宋" w:eastAsia="仿宋"/>
          <w:szCs w:val="21"/>
        </w:rPr>
        <w:fldChar w:fldCharType="separate"/>
      </w:r>
      <w:r>
        <w:rPr>
          <w:rFonts w:hint="eastAsia" w:ascii="仿宋" w:hAnsi="仿宋" w:eastAsia="仿宋"/>
        </w:rPr>
        <w:t>二、政府采购合同（格式）</w:t>
      </w:r>
      <w:r>
        <w:tab/>
      </w:r>
      <w:r>
        <w:fldChar w:fldCharType="begin"/>
      </w:r>
      <w:r>
        <w:instrText xml:space="preserve"> PAGEREF _Toc23067 \h </w:instrText>
      </w:r>
      <w:r>
        <w:fldChar w:fldCharType="separate"/>
      </w:r>
      <w:r>
        <w:t>- 27 -</w:t>
      </w:r>
      <w:r>
        <w:fldChar w:fldCharType="end"/>
      </w:r>
      <w:r>
        <w:rPr>
          <w:rFonts w:hint="eastAsia" w:ascii="仿宋" w:hAnsi="仿宋" w:eastAsia="仿宋"/>
          <w:szCs w:val="21"/>
        </w:rPr>
        <w:fldChar w:fldCharType="end"/>
      </w:r>
    </w:p>
    <w:p>
      <w:pPr>
        <w:pStyle w:val="37"/>
        <w:tabs>
          <w:tab w:val="right" w:leader="dot" w:pos="9412"/>
          <w:tab w:val="clear" w:pos="1260"/>
          <w:tab w:val="clear" w:pos="1685"/>
          <w:tab w:val="clear" w:pos="8400"/>
        </w:tabs>
      </w:pPr>
      <w:r>
        <w:rPr>
          <w:rFonts w:hint="eastAsia" w:ascii="仿宋" w:hAnsi="仿宋" w:eastAsia="仿宋"/>
          <w:szCs w:val="21"/>
        </w:rPr>
        <w:fldChar w:fldCharType="begin"/>
      </w:r>
      <w:r>
        <w:rPr>
          <w:rFonts w:hint="eastAsia" w:ascii="仿宋" w:hAnsi="仿宋" w:eastAsia="仿宋"/>
          <w:szCs w:val="21"/>
        </w:rPr>
        <w:instrText xml:space="preserve"> HYPERLINK \l _Toc32548 </w:instrText>
      </w:r>
      <w:r>
        <w:rPr>
          <w:rFonts w:hint="eastAsia" w:ascii="仿宋" w:hAnsi="仿宋" w:eastAsia="仿宋"/>
          <w:szCs w:val="21"/>
        </w:rPr>
        <w:fldChar w:fldCharType="separate"/>
      </w:r>
      <w:r>
        <w:rPr>
          <w:rFonts w:hint="eastAsia" w:ascii="仿宋" w:hAnsi="仿宋" w:eastAsia="仿宋"/>
        </w:rPr>
        <w:t>第七篇  投标文件格式</w:t>
      </w:r>
      <w:r>
        <w:tab/>
      </w:r>
      <w:r>
        <w:fldChar w:fldCharType="begin"/>
      </w:r>
      <w:r>
        <w:instrText xml:space="preserve"> PAGEREF _Toc32548 \h </w:instrText>
      </w:r>
      <w:r>
        <w:fldChar w:fldCharType="separate"/>
      </w:r>
      <w:r>
        <w:t>- 29 -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_Toc17998 </w:instrText>
      </w:r>
      <w:r>
        <w:rPr>
          <w:rFonts w:hint="eastAsia" w:ascii="仿宋" w:hAnsi="仿宋" w:eastAsia="仿宋"/>
          <w:szCs w:val="21"/>
        </w:rPr>
        <w:fldChar w:fldCharType="separate"/>
      </w:r>
      <w:r>
        <w:rPr>
          <w:rFonts w:hint="eastAsia" w:ascii="仿宋" w:hAnsi="仿宋" w:eastAsia="仿宋"/>
          <w:szCs w:val="28"/>
        </w:rPr>
        <w:t>一、经济文件</w:t>
      </w:r>
      <w:r>
        <w:tab/>
      </w:r>
      <w:r>
        <w:fldChar w:fldCharType="begin"/>
      </w:r>
      <w:r>
        <w:instrText xml:space="preserve"> PAGEREF _Toc17998 \h </w:instrText>
      </w:r>
      <w:r>
        <w:fldChar w:fldCharType="separate"/>
      </w:r>
      <w:r>
        <w:t>- 30 -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_Toc17394 </w:instrText>
      </w:r>
      <w:r>
        <w:rPr>
          <w:rFonts w:hint="eastAsia" w:ascii="仿宋" w:hAnsi="仿宋" w:eastAsia="仿宋"/>
          <w:szCs w:val="21"/>
        </w:rPr>
        <w:fldChar w:fldCharType="separate"/>
      </w:r>
      <w:r>
        <w:rPr>
          <w:rFonts w:hint="eastAsia" w:ascii="仿宋" w:hAnsi="仿宋" w:eastAsia="仿宋"/>
          <w:szCs w:val="28"/>
        </w:rPr>
        <w:t>二、技术文件</w:t>
      </w:r>
      <w:r>
        <w:tab/>
      </w:r>
      <w:r>
        <w:fldChar w:fldCharType="begin"/>
      </w:r>
      <w:r>
        <w:instrText xml:space="preserve"> PAGEREF _Toc17394 \h </w:instrText>
      </w:r>
      <w:r>
        <w:fldChar w:fldCharType="separate"/>
      </w:r>
      <w:r>
        <w:t>- 32 -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_Toc12240 </w:instrText>
      </w:r>
      <w:r>
        <w:rPr>
          <w:rFonts w:hint="eastAsia" w:ascii="仿宋" w:hAnsi="仿宋" w:eastAsia="仿宋"/>
          <w:szCs w:val="21"/>
        </w:rPr>
        <w:fldChar w:fldCharType="separate"/>
      </w:r>
      <w:r>
        <w:rPr>
          <w:rFonts w:hint="eastAsia" w:ascii="仿宋" w:hAnsi="仿宋" w:eastAsia="仿宋"/>
          <w:szCs w:val="28"/>
        </w:rPr>
        <w:t>三、商务文件</w:t>
      </w:r>
      <w:r>
        <w:tab/>
      </w:r>
      <w:r>
        <w:fldChar w:fldCharType="begin"/>
      </w:r>
      <w:r>
        <w:instrText xml:space="preserve"> PAGEREF _Toc12240 \h </w:instrText>
      </w:r>
      <w:r>
        <w:fldChar w:fldCharType="separate"/>
      </w:r>
      <w:r>
        <w:t>- 35 -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_Toc25413 </w:instrText>
      </w:r>
      <w:r>
        <w:rPr>
          <w:rFonts w:hint="eastAsia" w:ascii="仿宋" w:hAnsi="仿宋" w:eastAsia="仿宋"/>
          <w:szCs w:val="21"/>
        </w:rPr>
        <w:fldChar w:fldCharType="separate"/>
      </w:r>
      <w:r>
        <w:rPr>
          <w:rFonts w:hint="eastAsia" w:ascii="仿宋" w:hAnsi="仿宋" w:eastAsia="仿宋"/>
          <w:szCs w:val="28"/>
        </w:rPr>
        <w:t>四、其他</w:t>
      </w:r>
      <w:r>
        <w:tab/>
      </w:r>
      <w:r>
        <w:fldChar w:fldCharType="begin"/>
      </w:r>
      <w:r>
        <w:instrText xml:space="preserve"> PAGEREF _Toc25413 \h </w:instrText>
      </w:r>
      <w:r>
        <w:fldChar w:fldCharType="separate"/>
      </w:r>
      <w:r>
        <w:t>- 38 -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_Toc13157 </w:instrText>
      </w:r>
      <w:r>
        <w:rPr>
          <w:rFonts w:hint="eastAsia" w:ascii="仿宋" w:hAnsi="仿宋" w:eastAsia="仿宋"/>
          <w:szCs w:val="21"/>
        </w:rPr>
        <w:fldChar w:fldCharType="separate"/>
      </w:r>
      <w:r>
        <w:rPr>
          <w:rFonts w:hint="eastAsia" w:ascii="仿宋" w:hAnsi="仿宋" w:eastAsia="仿宋"/>
          <w:szCs w:val="28"/>
        </w:rPr>
        <w:t>五、资格文件（单独装订）</w:t>
      </w:r>
      <w:r>
        <w:tab/>
      </w:r>
      <w:r>
        <w:fldChar w:fldCharType="begin"/>
      </w:r>
      <w:r>
        <w:instrText xml:space="preserve"> PAGEREF _Toc13157 \h </w:instrText>
      </w:r>
      <w:r>
        <w:fldChar w:fldCharType="separate"/>
      </w:r>
      <w:r>
        <w:t>- 39 -</w:t>
      </w:r>
      <w:r>
        <w:fldChar w:fldCharType="end"/>
      </w:r>
      <w:r>
        <w:rPr>
          <w:rFonts w:hint="eastAsia" w:ascii="仿宋" w:hAnsi="仿宋" w:eastAsia="仿宋"/>
          <w:szCs w:val="21"/>
        </w:rPr>
        <w:fldChar w:fldCharType="end"/>
      </w:r>
    </w:p>
    <w:p>
      <w:pPr>
        <w:pStyle w:val="37"/>
        <w:ind w:firstLine="0" w:firstLineChars="0"/>
        <w:rPr>
          <w:rFonts w:hint="eastAsia" w:ascii="仿宋" w:hAnsi="仿宋" w:eastAsia="仿宋"/>
          <w:sz w:val="32"/>
        </w:rPr>
        <w:sectPr>
          <w:headerReference r:id="rId9" w:type="default"/>
          <w:footerReference r:id="rId10" w:type="default"/>
          <w:pgSz w:w="11907" w:h="16840"/>
          <w:pgMar w:top="1134" w:right="1191" w:bottom="1134" w:left="1304" w:header="964" w:footer="992" w:gutter="0"/>
          <w:pgNumType w:fmt="numberInDash" w:start="1"/>
          <w:cols w:space="720" w:num="1"/>
          <w:docGrid w:linePitch="312" w:charSpace="0"/>
        </w:sectPr>
      </w:pPr>
      <w:r>
        <w:rPr>
          <w:rFonts w:hint="eastAsia" w:ascii="仿宋" w:hAnsi="仿宋" w:eastAsia="仿宋"/>
          <w:szCs w:val="21"/>
        </w:rPr>
        <w:fldChar w:fldCharType="end"/>
      </w:r>
    </w:p>
    <w:p>
      <w:pPr>
        <w:pStyle w:val="3"/>
        <w:spacing w:before="0" w:beforeLines="0" w:after="0" w:afterLines="0" w:line="360" w:lineRule="auto"/>
        <w:rPr>
          <w:rFonts w:hint="eastAsia" w:ascii="仿宋" w:hAnsi="仿宋" w:eastAsia="仿宋"/>
          <w:b/>
        </w:rPr>
      </w:pPr>
      <w:bookmarkStart w:id="0" w:name="_Toc18829"/>
      <w:r>
        <w:rPr>
          <w:rFonts w:ascii="仿宋" w:hAnsi="仿宋" w:eastAsia="仿宋"/>
          <w:b/>
        </w:rPr>
        <w:t>第一篇</w:t>
      </w:r>
      <w:r>
        <w:rPr>
          <w:rFonts w:hint="eastAsia" w:ascii="仿宋" w:hAnsi="仿宋" w:eastAsia="仿宋"/>
          <w:b/>
        </w:rPr>
        <w:t xml:space="preserve"> 投标邀请书</w:t>
      </w:r>
      <w:bookmarkEnd w:id="0"/>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重庆方郡建设工程咨询有限公司受重庆市万州高级技工学校的委托，对重庆市万州高级技工学校食堂供应商采购进行采购，欢迎有资格的投标人参加投标。</w:t>
      </w:r>
    </w:p>
    <w:p>
      <w:pPr>
        <w:pStyle w:val="4"/>
        <w:spacing w:line="500" w:lineRule="exact"/>
        <w:ind w:firstLine="482" w:firstLineChars="200"/>
        <w:rPr>
          <w:rFonts w:hint="eastAsia" w:ascii="仿宋" w:hAnsi="仿宋" w:eastAsia="仿宋"/>
          <w:b/>
          <w:sz w:val="24"/>
        </w:rPr>
      </w:pPr>
      <w:bookmarkStart w:id="1" w:name="_Toc314"/>
      <w:r>
        <w:rPr>
          <w:rFonts w:hint="eastAsia" w:ascii="仿宋" w:hAnsi="仿宋" w:eastAsia="仿宋"/>
          <w:b/>
          <w:sz w:val="24"/>
        </w:rPr>
        <w:t>一、招标项目内容</w:t>
      </w:r>
      <w:bookmarkEnd w:id="1"/>
    </w:p>
    <w:p>
      <w:pPr>
        <w:rPr>
          <w:rFonts w:hint="eastAsia" w:ascii="仿宋" w:hAnsi="仿宋" w:eastAsia="仿宋"/>
          <w:b/>
          <w:sz w:val="24"/>
        </w:rPr>
      </w:pPr>
    </w:p>
    <w:tbl>
      <w:tblPr>
        <w:tblStyle w:val="5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1418"/>
        <w:gridCol w:w="1984"/>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3" w:type="dxa"/>
            <w:tcBorders>
              <w:top w:val="single" w:color="auto" w:sz="4" w:space="0"/>
              <w:left w:val="single" w:color="auto" w:sz="4" w:space="0"/>
              <w:right w:val="single" w:color="auto" w:sz="4" w:space="0"/>
            </w:tcBorders>
            <w:noWrap w:val="0"/>
            <w:vAlign w:val="center"/>
          </w:tcPr>
          <w:p>
            <w:pPr>
              <w:widowControl/>
              <w:spacing w:line="320" w:lineRule="atLeast"/>
              <w:jc w:val="center"/>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分包号</w:t>
            </w:r>
          </w:p>
        </w:tc>
        <w:tc>
          <w:tcPr>
            <w:tcW w:w="2409" w:type="dxa"/>
            <w:tcBorders>
              <w:top w:val="single" w:color="auto" w:sz="4" w:space="0"/>
              <w:left w:val="single" w:color="auto" w:sz="4" w:space="0"/>
              <w:right w:val="single" w:color="auto" w:sz="4" w:space="0"/>
            </w:tcBorders>
            <w:noWrap w:val="0"/>
            <w:vAlign w:val="center"/>
          </w:tcPr>
          <w:p>
            <w:pPr>
              <w:widowControl/>
              <w:spacing w:line="320" w:lineRule="atLeast"/>
              <w:jc w:val="center"/>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项目名称</w:t>
            </w:r>
          </w:p>
        </w:tc>
        <w:tc>
          <w:tcPr>
            <w:tcW w:w="1418" w:type="dxa"/>
            <w:tcBorders>
              <w:top w:val="single" w:color="auto" w:sz="4" w:space="0"/>
              <w:left w:val="single" w:color="auto" w:sz="4" w:space="0"/>
              <w:right w:val="single" w:color="auto" w:sz="4" w:space="0"/>
            </w:tcBorders>
            <w:noWrap w:val="0"/>
            <w:vAlign w:val="center"/>
          </w:tcPr>
          <w:p>
            <w:pPr>
              <w:widowControl/>
              <w:spacing w:line="320" w:lineRule="atLeast"/>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保证金（万元）</w:t>
            </w:r>
          </w:p>
        </w:tc>
        <w:tc>
          <w:tcPr>
            <w:tcW w:w="1984" w:type="dxa"/>
            <w:tcBorders>
              <w:top w:val="single" w:color="auto" w:sz="4" w:space="0"/>
              <w:left w:val="single" w:color="auto" w:sz="4" w:space="0"/>
              <w:right w:val="single" w:color="auto" w:sz="4" w:space="0"/>
            </w:tcBorders>
            <w:noWrap w:val="0"/>
            <w:vAlign w:val="center"/>
          </w:tcPr>
          <w:p>
            <w:pPr>
              <w:spacing w:line="320" w:lineRule="atLeast"/>
              <w:jc w:val="center"/>
              <w:rPr>
                <w:rFonts w:hint="eastAsia" w:ascii="方正仿宋_GBK" w:hAnsi="宋体" w:eastAsia="方正仿宋_GBK"/>
                <w:sz w:val="24"/>
                <w:szCs w:val="24"/>
              </w:rPr>
            </w:pPr>
            <w:r>
              <w:rPr>
                <w:rFonts w:hint="eastAsia" w:ascii="方正仿宋_GBK" w:hAnsi="宋体" w:eastAsia="方正仿宋_GBK" w:cs="宋体"/>
                <w:b/>
                <w:bCs/>
                <w:kern w:val="0"/>
                <w:sz w:val="24"/>
                <w:szCs w:val="24"/>
              </w:rPr>
              <w:t>备注</w:t>
            </w:r>
          </w:p>
        </w:tc>
        <w:tc>
          <w:tcPr>
            <w:tcW w:w="2635"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方正仿宋_GBK" w:hAnsi="宋体" w:eastAsia="方正仿宋_GBK"/>
                <w:b/>
                <w:sz w:val="24"/>
                <w:szCs w:val="24"/>
              </w:rPr>
            </w:pPr>
            <w:bookmarkStart w:id="2" w:name="_Hlk344477914"/>
            <w:r>
              <w:rPr>
                <w:rFonts w:hint="eastAsia" w:ascii="仿宋" w:hAnsi="仿宋" w:eastAsia="仿宋"/>
                <w:sz w:val="24"/>
                <w:szCs w:val="24"/>
              </w:rPr>
              <w:t>不分包</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方正仿宋_GBK" w:hAnsi="宋体" w:eastAsia="方正仿宋_GBK" w:cs="宋体"/>
                <w:b/>
                <w:kern w:val="0"/>
                <w:sz w:val="24"/>
                <w:szCs w:val="24"/>
              </w:rPr>
            </w:pPr>
            <w:r>
              <w:rPr>
                <w:rFonts w:hint="eastAsia" w:ascii="仿宋" w:hAnsi="仿宋" w:eastAsia="仿宋"/>
                <w:sz w:val="24"/>
                <w:szCs w:val="24"/>
              </w:rPr>
              <w:t>重庆市万州高级技工学校食堂供应商采购</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 w:hAnsi="仿宋" w:eastAsia="仿宋"/>
                <w:sz w:val="24"/>
                <w:szCs w:val="24"/>
              </w:rPr>
            </w:pPr>
            <w:r>
              <w:rPr>
                <w:rFonts w:hint="eastAsia" w:ascii="仿宋" w:hAnsi="仿宋" w:eastAsia="仿宋"/>
                <w:sz w:val="24"/>
                <w:szCs w:val="24"/>
              </w:rPr>
              <w:t>服务期1年</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 w:hAnsi="仿宋" w:eastAsia="仿宋"/>
                <w:sz w:val="24"/>
                <w:szCs w:val="24"/>
              </w:rPr>
            </w:pPr>
            <w:r>
              <w:rPr>
                <w:rFonts w:hint="eastAsia" w:ascii="仿宋" w:hAnsi="仿宋" w:eastAsia="仿宋"/>
                <w:sz w:val="24"/>
                <w:szCs w:val="24"/>
              </w:rPr>
              <w:t>本项目不接受联合体投标</w:t>
            </w:r>
          </w:p>
        </w:tc>
      </w:tr>
      <w:bookmarkEnd w:id="2"/>
    </w:tbl>
    <w:p>
      <w:pPr>
        <w:rPr>
          <w:rFonts w:hint="eastAsia" w:ascii="仿宋" w:hAnsi="仿宋" w:eastAsia="仿宋"/>
          <w:b/>
          <w:sz w:val="24"/>
        </w:rPr>
      </w:pPr>
    </w:p>
    <w:p>
      <w:pPr>
        <w:pStyle w:val="4"/>
        <w:spacing w:line="500" w:lineRule="exact"/>
        <w:ind w:firstLine="482" w:firstLineChars="200"/>
        <w:rPr>
          <w:rFonts w:hint="eastAsia" w:ascii="仿宋" w:hAnsi="仿宋" w:eastAsia="仿宋"/>
          <w:b/>
          <w:sz w:val="24"/>
        </w:rPr>
      </w:pPr>
      <w:bookmarkStart w:id="3" w:name="_Toc6374"/>
      <w:r>
        <w:rPr>
          <w:rFonts w:hint="eastAsia" w:ascii="仿宋" w:hAnsi="仿宋" w:eastAsia="仿宋"/>
          <w:b/>
          <w:sz w:val="24"/>
        </w:rPr>
        <w:t>二、资金来源</w:t>
      </w:r>
      <w:bookmarkEnd w:id="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食堂代卖资金。</w:t>
      </w:r>
    </w:p>
    <w:p>
      <w:pPr>
        <w:pStyle w:val="4"/>
        <w:spacing w:line="500" w:lineRule="exact"/>
        <w:ind w:firstLine="482" w:firstLineChars="200"/>
        <w:rPr>
          <w:rFonts w:hint="eastAsia" w:ascii="仿宋" w:hAnsi="仿宋" w:eastAsia="仿宋"/>
          <w:b/>
          <w:sz w:val="24"/>
        </w:rPr>
      </w:pPr>
      <w:bookmarkStart w:id="4" w:name="_Toc25397"/>
      <w:r>
        <w:rPr>
          <w:rFonts w:hint="eastAsia" w:ascii="仿宋" w:hAnsi="仿宋" w:eastAsia="仿宋"/>
          <w:b/>
          <w:sz w:val="24"/>
        </w:rPr>
        <w:t>三、投标人资格要求</w:t>
      </w:r>
      <w:bookmarkEnd w:id="4"/>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合格投标人应首先符合政府采购法第二十二条规定的基本条件，同时符合根据该项目特点设置的特定资格条件。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（一）基本资格条件</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6.法律、行政法规规定的其他条件。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（二）特定资格条件</w:t>
      </w:r>
    </w:p>
    <w:p>
      <w:pPr>
        <w:snapToGrid w:val="0"/>
        <w:spacing w:line="400" w:lineRule="exact"/>
        <w:ind w:firstLine="480" w:firstLineChars="200"/>
        <w:rPr>
          <w:rFonts w:hint="eastAsia" w:ascii="仿宋" w:hAnsi="仿宋" w:eastAsia="仿宋"/>
          <w:sz w:val="24"/>
          <w:szCs w:val="24"/>
        </w:rPr>
      </w:pPr>
      <w:bookmarkStart w:id="5" w:name="_Toc272656014"/>
      <w:bookmarkStart w:id="6" w:name="_Toc373329415"/>
      <w:bookmarkStart w:id="7" w:name="_Toc290293587"/>
      <w:r>
        <w:rPr>
          <w:rFonts w:hint="eastAsia" w:ascii="仿宋" w:hAnsi="仿宋" w:eastAsia="仿宋"/>
          <w:sz w:val="24"/>
          <w:szCs w:val="24"/>
        </w:rPr>
        <w:t>1、</w:t>
      </w:r>
      <w:bookmarkEnd w:id="5"/>
      <w:bookmarkEnd w:id="6"/>
      <w:bookmarkEnd w:id="7"/>
      <w:r>
        <w:rPr>
          <w:rFonts w:hint="eastAsia" w:ascii="仿宋" w:hAnsi="仿宋" w:eastAsia="仿宋"/>
          <w:sz w:val="24"/>
          <w:szCs w:val="24"/>
        </w:rPr>
        <w:t>参照各分类项目中的资格要求。</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注：本次招标不接受联合体投标，不允许分包和转包。以上特定资格条件资料复印件装入响应文件中,原件资料另行装袋并标明供应商名称，与响应文件一同递交供评委查验，评审结束后退还原件资料。</w:t>
      </w:r>
    </w:p>
    <w:p>
      <w:pPr>
        <w:pStyle w:val="4"/>
        <w:spacing w:line="500" w:lineRule="exact"/>
        <w:ind w:firstLine="482" w:firstLineChars="200"/>
        <w:rPr>
          <w:rFonts w:hint="eastAsia" w:ascii="仿宋" w:hAnsi="仿宋" w:eastAsia="仿宋"/>
          <w:b/>
          <w:sz w:val="24"/>
        </w:rPr>
      </w:pPr>
      <w:bookmarkStart w:id="8" w:name="_Toc10243"/>
      <w:r>
        <w:rPr>
          <w:rFonts w:hint="eastAsia" w:ascii="仿宋" w:hAnsi="仿宋" w:eastAsia="仿宋"/>
          <w:b/>
          <w:sz w:val="24"/>
        </w:rPr>
        <w:t>四、投标、开标有关说明</w:t>
      </w:r>
      <w:bookmarkEnd w:id="8"/>
    </w:p>
    <w:p>
      <w:pPr>
        <w:snapToGrid w:val="0"/>
        <w:spacing w:line="400" w:lineRule="exact"/>
        <w:ind w:firstLine="480" w:firstLineChars="200"/>
        <w:rPr>
          <w:rFonts w:hint="eastAsia" w:ascii="仿宋" w:hAnsi="仿宋" w:eastAsia="仿宋"/>
          <w:sz w:val="24"/>
          <w:szCs w:val="24"/>
        </w:rPr>
      </w:pPr>
      <w:bookmarkStart w:id="9" w:name="_Toc10075"/>
      <w:r>
        <w:rPr>
          <w:rFonts w:hint="eastAsia" w:ascii="仿宋" w:hAnsi="仿宋" w:eastAsia="仿宋"/>
          <w:sz w:val="24"/>
          <w:szCs w:val="24"/>
        </w:rPr>
        <w:t>1、获取招标文件方式：即招标文件及其相关信息在重庆市万州高级技工学校官网 “通知公告”栏目公示，供应商自行下载。</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2、响应文件（即投标文件）递交地点：重庆方郡建设工程咨询有限公司会议室（重庆市万州区安宁路66号）。</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3、凡有意参加投标者，请于公告发布之日起即2021年 </w:t>
      </w:r>
      <w:r>
        <w:rPr>
          <w:rFonts w:hint="eastAsia" w:ascii="仿宋" w:hAnsi="仿宋" w:eastAsia="仿宋"/>
          <w:sz w:val="24"/>
          <w:szCs w:val="24"/>
          <w:lang w:val="en-US" w:eastAsia="zh-CN"/>
        </w:rPr>
        <w:t>10</w:t>
      </w:r>
      <w:r>
        <w:rPr>
          <w:rFonts w:hint="eastAsia" w:ascii="仿宋" w:hAnsi="仿宋" w:eastAsia="仿宋"/>
          <w:sz w:val="24"/>
          <w:szCs w:val="24"/>
        </w:rPr>
        <w:t xml:space="preserve"> 月 </w:t>
      </w:r>
      <w:r>
        <w:rPr>
          <w:rFonts w:hint="eastAsia" w:ascii="仿宋" w:hAnsi="仿宋" w:eastAsia="仿宋"/>
          <w:sz w:val="24"/>
          <w:szCs w:val="24"/>
          <w:lang w:val="en-US" w:eastAsia="zh-CN"/>
        </w:rPr>
        <w:t>12</w:t>
      </w:r>
      <w:r>
        <w:rPr>
          <w:rFonts w:hint="eastAsia" w:ascii="仿宋" w:hAnsi="仿宋" w:eastAsia="仿宋"/>
          <w:sz w:val="24"/>
          <w:szCs w:val="24"/>
        </w:rPr>
        <w:t xml:space="preserve">日至 2021年 </w:t>
      </w:r>
      <w:r>
        <w:rPr>
          <w:rFonts w:hint="eastAsia" w:ascii="仿宋" w:hAnsi="仿宋" w:eastAsia="仿宋"/>
          <w:sz w:val="24"/>
          <w:szCs w:val="24"/>
          <w:lang w:val="en-US" w:eastAsia="zh-CN"/>
        </w:rPr>
        <w:t>10</w:t>
      </w:r>
      <w:r>
        <w:rPr>
          <w:rFonts w:hint="eastAsia" w:ascii="仿宋" w:hAnsi="仿宋" w:eastAsia="仿宋"/>
          <w:sz w:val="24"/>
          <w:szCs w:val="24"/>
        </w:rPr>
        <w:t xml:space="preserve">月 </w:t>
      </w:r>
      <w:r>
        <w:rPr>
          <w:rFonts w:hint="eastAsia" w:ascii="仿宋" w:hAnsi="仿宋" w:eastAsia="仿宋"/>
          <w:sz w:val="24"/>
          <w:szCs w:val="24"/>
          <w:lang w:val="en-US" w:eastAsia="zh-CN"/>
        </w:rPr>
        <w:t>15</w:t>
      </w:r>
      <w:r>
        <w:rPr>
          <w:rFonts w:hint="eastAsia" w:ascii="仿宋" w:hAnsi="仿宋" w:eastAsia="仿宋"/>
          <w:sz w:val="24"/>
          <w:szCs w:val="24"/>
        </w:rPr>
        <w:t>日下午17：00时前到重庆方郡建设工程咨询有限公司进行报名。报名时需携带法人身份证明及授权委托书、委托代理人身份证、营业执照复印件。招标文件、答疑等开标前的有关资料及相关事宜在重庆市万州高级技工学校官网下载。报名则视为供应商全部知晓有关招标过程和事宜。在投标截止日前，各供应商应随时关注网上发布的招标补疑通知。</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4、报名供应商递交响应文件截止及开标时间：2021年 </w:t>
      </w:r>
      <w:r>
        <w:rPr>
          <w:rFonts w:hint="eastAsia" w:ascii="仿宋" w:hAnsi="仿宋" w:eastAsia="仿宋"/>
          <w:sz w:val="24"/>
          <w:szCs w:val="24"/>
          <w:lang w:val="en-US" w:eastAsia="zh-CN"/>
        </w:rPr>
        <w:t>10</w:t>
      </w:r>
      <w:r>
        <w:rPr>
          <w:rFonts w:hint="eastAsia" w:ascii="仿宋" w:hAnsi="仿宋" w:eastAsia="仿宋"/>
          <w:sz w:val="24"/>
          <w:szCs w:val="24"/>
        </w:rPr>
        <w:t xml:space="preserve"> 月 </w:t>
      </w:r>
      <w:r>
        <w:rPr>
          <w:rFonts w:hint="eastAsia" w:ascii="仿宋" w:hAnsi="仿宋" w:eastAsia="仿宋"/>
          <w:sz w:val="24"/>
          <w:szCs w:val="24"/>
          <w:lang w:val="en-US" w:eastAsia="zh-CN"/>
        </w:rPr>
        <w:t>15</w:t>
      </w:r>
      <w:r>
        <w:rPr>
          <w:rFonts w:hint="eastAsia" w:ascii="仿宋" w:hAnsi="仿宋" w:eastAsia="仿宋"/>
          <w:sz w:val="24"/>
          <w:szCs w:val="24"/>
        </w:rPr>
        <w:t>日北京时间9:30时。</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5、投标报名费用：（1）本次投标供应商在报名时缴纳500.00元（人民币）的投标费用，未缴纳或未足额缴纳的不予报名，且无论中标与否都不退还。</w:t>
      </w:r>
    </w:p>
    <w:p>
      <w:pPr>
        <w:spacing w:line="360" w:lineRule="exact"/>
        <w:ind w:firstLine="482" w:firstLineChars="200"/>
        <w:rPr>
          <w:rFonts w:hint="eastAsia" w:ascii="仿宋" w:hAnsi="仿宋" w:eastAsia="仿宋"/>
          <w:b/>
          <w:sz w:val="24"/>
        </w:rPr>
      </w:pPr>
      <w:bookmarkStart w:id="10" w:name="_Toc13290"/>
      <w:r>
        <w:rPr>
          <w:rFonts w:hint="eastAsia" w:ascii="仿宋" w:hAnsi="仿宋" w:eastAsia="仿宋"/>
          <w:b/>
          <w:sz w:val="24"/>
        </w:rPr>
        <w:t>五、保证金</w:t>
      </w:r>
      <w:bookmarkEnd w:id="10"/>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1、金额：人民币1</w:t>
      </w:r>
      <w:r>
        <w:rPr>
          <w:rFonts w:hint="eastAsia" w:ascii="仿宋" w:hAnsi="仿宋" w:eastAsia="仿宋"/>
          <w:sz w:val="24"/>
          <w:szCs w:val="24"/>
          <w:lang w:val="en-US" w:eastAsia="zh-CN"/>
        </w:rPr>
        <w:t>3</w:t>
      </w:r>
      <w:r>
        <w:rPr>
          <w:rFonts w:hint="eastAsia" w:ascii="仿宋" w:hAnsi="仿宋" w:eastAsia="仿宋"/>
          <w:sz w:val="24"/>
          <w:szCs w:val="24"/>
        </w:rPr>
        <w:t>000元整（其中10000为履约保证金、</w:t>
      </w:r>
      <w:r>
        <w:rPr>
          <w:rFonts w:hint="eastAsia" w:ascii="仿宋" w:hAnsi="仿宋" w:eastAsia="仿宋"/>
          <w:sz w:val="24"/>
          <w:szCs w:val="24"/>
          <w:lang w:val="en-US" w:eastAsia="zh-CN"/>
        </w:rPr>
        <w:t>3</w:t>
      </w:r>
      <w:r>
        <w:rPr>
          <w:rFonts w:hint="eastAsia" w:ascii="仿宋" w:hAnsi="仿宋" w:eastAsia="仿宋"/>
          <w:sz w:val="24"/>
          <w:szCs w:val="24"/>
        </w:rPr>
        <w:t>000为代理服务费）。</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2、交纳方式：在递交响应文件的同时以现金方式交纳给采购代理机构。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3、退还方式：未成交供应商评审结束后当场退还保证金，成交供应商应将保证金转为履约保证金和代理服务费，签订合同后履约保证金合同期满后退回</w:t>
      </w:r>
      <w:bookmarkEnd w:id="9"/>
      <w:bookmarkStart w:id="11" w:name="_Toc21817"/>
      <w:r>
        <w:rPr>
          <w:rFonts w:hint="eastAsia" w:ascii="仿宋" w:hAnsi="仿宋" w:eastAsia="仿宋"/>
          <w:sz w:val="24"/>
          <w:szCs w:val="24"/>
        </w:rPr>
        <w:t>。</w:t>
      </w:r>
    </w:p>
    <w:p>
      <w:pPr>
        <w:pStyle w:val="4"/>
        <w:spacing w:line="500" w:lineRule="exact"/>
        <w:ind w:firstLine="482" w:firstLineChars="200"/>
        <w:rPr>
          <w:rFonts w:hint="eastAsia" w:ascii="仿宋" w:hAnsi="仿宋" w:eastAsia="仿宋"/>
          <w:b/>
          <w:sz w:val="24"/>
          <w:lang w:val="en-US" w:eastAsia="zh-CN"/>
        </w:rPr>
      </w:pPr>
      <w:r>
        <w:rPr>
          <w:rFonts w:hint="eastAsia" w:ascii="仿宋" w:hAnsi="仿宋" w:eastAsia="仿宋"/>
          <w:b/>
          <w:sz w:val="24"/>
          <w:lang w:val="en-US" w:eastAsia="zh-CN"/>
        </w:rPr>
        <w:t>六</w:t>
      </w:r>
      <w:r>
        <w:rPr>
          <w:rFonts w:hint="eastAsia" w:ascii="仿宋" w:hAnsi="仿宋" w:eastAsia="仿宋"/>
          <w:b/>
          <w:sz w:val="24"/>
        </w:rPr>
        <w:t>、投标有关规定</w:t>
      </w:r>
      <w:bookmarkEnd w:id="11"/>
      <w:r>
        <w:rPr>
          <w:rFonts w:hint="eastAsia" w:ascii="仿宋" w:hAnsi="仿宋" w:eastAsia="仿宋"/>
          <w:b/>
          <w:sz w:val="24"/>
          <w:lang w:val="en-US" w:eastAsia="zh-CN"/>
        </w:rPr>
        <w:t xml:space="preserve"> </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w:t>
      </w:r>
      <w:r>
        <w:rPr>
          <w:rFonts w:ascii="仿宋" w:hAnsi="仿宋" w:eastAsia="仿宋"/>
          <w:sz w:val="24"/>
          <w:szCs w:val="24"/>
        </w:rPr>
        <w:t>单位负责人为同一人或者存在直接控股、管理关系的不同投标人，不得参加同一合同项</w:t>
      </w:r>
      <w:r>
        <w:rPr>
          <w:rFonts w:hint="eastAsia" w:ascii="仿宋" w:hAnsi="仿宋" w:eastAsia="仿宋"/>
          <w:sz w:val="24"/>
          <w:szCs w:val="24"/>
        </w:rPr>
        <w:t>（分包）</w:t>
      </w:r>
      <w:r>
        <w:rPr>
          <w:rFonts w:ascii="仿宋" w:hAnsi="仿宋" w:eastAsia="仿宋"/>
          <w:sz w:val="24"/>
          <w:szCs w:val="24"/>
        </w:rPr>
        <w:t>下的政府采购活动。</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w:t>
      </w:r>
      <w:r>
        <w:rPr>
          <w:rFonts w:ascii="仿宋" w:hAnsi="仿宋" w:eastAsia="仿宋"/>
          <w:sz w:val="24"/>
          <w:szCs w:val="24"/>
        </w:rPr>
        <w:t>为采购项目提供整体设计、规范编制或者项目管理、监理、检测等服务的投标人，不得再参加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（三）本项目若有补遗文件一律在重庆市万州高级技工学校官网上发布，请各投标人注意下载；无论投标人下载与否，均视同投标人已知晓本项目补遗文件的内容。</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（四）超过投标截止时间递交的投标文件，恕不接收。</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（五）投标费用：无论投标结果如何，投标人参与本项目投标的所有费用均应由投标人自行承担。</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（六）本项目不接受联合体参与投标。</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（七）</w:t>
      </w:r>
      <w:bookmarkStart w:id="12" w:name="OLE_LINK2"/>
      <w:bookmarkStart w:id="13" w:name="OLE_LINK1"/>
      <w:r>
        <w:rPr>
          <w:rFonts w:hint="eastAsia" w:ascii="仿宋" w:hAnsi="仿宋" w:eastAsia="仿宋"/>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2"/>
      <w:bookmarkEnd w:id="13"/>
      <w:r>
        <w:rPr>
          <w:rFonts w:hint="eastAsia" w:ascii="仿宋" w:hAnsi="仿宋" w:eastAsia="仿宋"/>
          <w:sz w:val="24"/>
          <w:szCs w:val="24"/>
        </w:rPr>
        <w:t>投标人，将拒绝其参与政府采购活动。</w:t>
      </w:r>
    </w:p>
    <w:p>
      <w:pPr>
        <w:pStyle w:val="4"/>
        <w:spacing w:line="500" w:lineRule="exact"/>
        <w:ind w:firstLine="482" w:firstLineChars="200"/>
        <w:rPr>
          <w:rFonts w:hint="eastAsia" w:ascii="仿宋" w:hAnsi="仿宋" w:eastAsia="仿宋"/>
          <w:b/>
          <w:sz w:val="24"/>
          <w:lang w:val="en-US" w:eastAsia="zh-CN"/>
        </w:rPr>
      </w:pPr>
      <w:bookmarkStart w:id="14" w:name="_Toc18526"/>
      <w:r>
        <w:rPr>
          <w:rFonts w:hint="eastAsia" w:ascii="仿宋" w:hAnsi="仿宋" w:eastAsia="仿宋"/>
          <w:b/>
          <w:sz w:val="24"/>
          <w:lang w:val="en-US" w:eastAsia="zh-CN"/>
        </w:rPr>
        <w:t>七、联系方式</w:t>
      </w:r>
      <w:bookmarkEnd w:id="14"/>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采购人：重庆市万州高级技工学校</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联系人：赵老师</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电话：18723779871</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地址：重庆市万州区永佳路318号</w:t>
      </w:r>
    </w:p>
    <w:p>
      <w:pPr>
        <w:spacing w:line="360" w:lineRule="exact"/>
        <w:ind w:firstLine="480" w:firstLineChars="200"/>
        <w:rPr>
          <w:rFonts w:hint="eastAsia" w:ascii="仿宋" w:hAnsi="仿宋" w:eastAsia="仿宋"/>
          <w:sz w:val="24"/>
          <w:szCs w:val="24"/>
        </w:rPr>
      </w:pP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采购代理机构：重庆方郡建设工程咨询有限公司</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联系人：张老师</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电  话：18423203111</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地  址：重庆市万州区安宁路66号</w:t>
      </w:r>
    </w:p>
    <w:p>
      <w:pPr>
        <w:pStyle w:val="3"/>
        <w:spacing w:before="0" w:beforeLines="0" w:after="0" w:afterLines="0" w:line="360" w:lineRule="auto"/>
        <w:rPr>
          <w:rFonts w:hint="eastAsia" w:ascii="仿宋" w:hAnsi="仿宋" w:eastAsia="仿宋"/>
          <w:b/>
        </w:rPr>
      </w:pPr>
      <w:r>
        <w:rPr>
          <w:rFonts w:ascii="仿宋" w:hAnsi="仿宋" w:eastAsia="仿宋"/>
        </w:rPr>
        <w:br w:type="page"/>
      </w:r>
      <w:bookmarkStart w:id="15" w:name="_Toc14176"/>
      <w:r>
        <w:rPr>
          <w:rFonts w:hint="eastAsia" w:ascii="仿宋" w:hAnsi="仿宋" w:eastAsia="仿宋"/>
          <w:b/>
        </w:rPr>
        <w:t>第二篇 项目技术规格、数量及质量要求</w:t>
      </w:r>
      <w:bookmarkEnd w:id="15"/>
    </w:p>
    <w:p>
      <w:pPr>
        <w:snapToGrid w:val="0"/>
        <w:spacing w:line="400" w:lineRule="exact"/>
        <w:rPr>
          <w:rFonts w:hint="eastAsia" w:ascii="仿宋" w:hAnsi="仿宋" w:eastAsia="仿宋"/>
          <w:b/>
          <w:sz w:val="24"/>
          <w:szCs w:val="24"/>
        </w:rPr>
      </w:pPr>
    </w:p>
    <w:p>
      <w:pPr>
        <w:jc w:val="center"/>
        <w:rPr>
          <w:rFonts w:hint="eastAsia" w:ascii="Calibri" w:hAnsi="Calibri" w:eastAsia="方正仿宋_GBK"/>
          <w:sz w:val="24"/>
          <w:szCs w:val="24"/>
        </w:rPr>
      </w:pPr>
      <w:r>
        <w:rPr>
          <w:rFonts w:hint="eastAsia" w:hAnsi="宋体" w:cs="宋体"/>
          <w:b/>
          <w:sz w:val="30"/>
          <w:szCs w:val="30"/>
        </w:rPr>
        <w:t>本项目采购</w:t>
      </w:r>
      <w:r>
        <w:rPr>
          <w:rFonts w:hint="eastAsia"/>
          <w:b/>
          <w:sz w:val="30"/>
          <w:szCs w:val="30"/>
        </w:rPr>
        <w:t>参数及具体要求</w:t>
      </w:r>
    </w:p>
    <w:p>
      <w:pPr>
        <w:pStyle w:val="2"/>
        <w:rPr>
          <w:rFonts w:hint="eastAsia" w:ascii="Calibri" w:hAnsi="Calibri" w:eastAsia="方正仿宋_GBK"/>
          <w:sz w:val="24"/>
          <w:szCs w:val="24"/>
        </w:rPr>
      </w:pPr>
    </w:p>
    <w:p>
      <w:pPr>
        <w:rPr>
          <w:rFonts w:hint="eastAsia" w:ascii="Calibri" w:hAnsi="Calibri" w:eastAsia="方正仿宋_GBK"/>
          <w:sz w:val="24"/>
          <w:szCs w:val="24"/>
        </w:rPr>
      </w:pPr>
    </w:p>
    <w:tbl>
      <w:tblPr>
        <w:tblStyle w:val="5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237"/>
        <w:gridCol w:w="2220"/>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pPr>
              <w:jc w:val="center"/>
              <w:rPr>
                <w:b/>
              </w:rPr>
            </w:pPr>
            <w:r>
              <w:rPr>
                <w:rFonts w:hint="eastAsia"/>
                <w:b/>
              </w:rPr>
              <w:t>分项</w:t>
            </w:r>
          </w:p>
        </w:tc>
        <w:tc>
          <w:tcPr>
            <w:tcW w:w="4237" w:type="dxa"/>
            <w:noWrap w:val="0"/>
            <w:vAlign w:val="center"/>
          </w:tcPr>
          <w:p>
            <w:pPr>
              <w:jc w:val="center"/>
              <w:rPr>
                <w:b/>
              </w:rPr>
            </w:pPr>
            <w:r>
              <w:rPr>
                <w:rFonts w:hint="eastAsia"/>
                <w:b/>
              </w:rPr>
              <w:t>特定要求</w:t>
            </w:r>
          </w:p>
        </w:tc>
        <w:tc>
          <w:tcPr>
            <w:tcW w:w="2220" w:type="dxa"/>
            <w:noWrap w:val="0"/>
            <w:vAlign w:val="center"/>
          </w:tcPr>
          <w:p>
            <w:pPr>
              <w:jc w:val="center"/>
              <w:rPr>
                <w:b/>
              </w:rPr>
            </w:pPr>
            <w:r>
              <w:rPr>
                <w:rFonts w:hint="eastAsia"/>
                <w:b/>
              </w:rPr>
              <w:t>资格标准</w:t>
            </w:r>
          </w:p>
        </w:tc>
        <w:tc>
          <w:tcPr>
            <w:tcW w:w="1289" w:type="dxa"/>
            <w:noWrap w:val="0"/>
            <w:vAlign w:val="center"/>
          </w:tcPr>
          <w:p>
            <w:pPr>
              <w:jc w:val="center"/>
              <w:rPr>
                <w:b/>
              </w:rPr>
            </w:pPr>
            <w:r>
              <w:rPr>
                <w:rFonts w:hint="eastAsia"/>
                <w:b/>
              </w:rPr>
              <w:t>中标人数</w:t>
            </w:r>
          </w:p>
        </w:tc>
        <w:tc>
          <w:tcPr>
            <w:tcW w:w="1289" w:type="dxa"/>
            <w:noWrap w:val="0"/>
            <w:vAlign w:val="top"/>
          </w:tcPr>
          <w:p>
            <w:pPr>
              <w:jc w:val="center"/>
              <w:rPr>
                <w:b/>
              </w:rPr>
            </w:pPr>
            <w:r>
              <w:rPr>
                <w:rFonts w:hint="eastAsia"/>
                <w:b/>
              </w:rPr>
              <w:t>必报价品名（元/斤）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79" w:type="dxa"/>
            <w:noWrap w:val="0"/>
            <w:vAlign w:val="center"/>
          </w:tcPr>
          <w:p>
            <w:r>
              <w:rPr>
                <w:rFonts w:hint="eastAsia"/>
              </w:rPr>
              <w:t>鲜猪肉</w:t>
            </w:r>
          </w:p>
        </w:tc>
        <w:tc>
          <w:tcPr>
            <w:tcW w:w="4237" w:type="dxa"/>
            <w:noWrap w:val="0"/>
            <w:vAlign w:val="center"/>
          </w:tcPr>
          <w:p>
            <w:pPr>
              <w:snapToGrid w:val="0"/>
              <w:spacing w:line="480" w:lineRule="exact"/>
              <w:rPr>
                <w:rFonts w:ascii="宋体" w:hAnsi="宋体"/>
                <w:sz w:val="20"/>
              </w:rPr>
            </w:pPr>
            <w:r>
              <w:rPr>
                <w:rFonts w:hint="eastAsia" w:ascii="宋体" w:hAnsi="宋体"/>
                <w:sz w:val="20"/>
              </w:rPr>
              <w:t>1、新鲜猪肉、肌肉有弹性、内脏干净；</w:t>
            </w:r>
          </w:p>
          <w:p>
            <w:pPr>
              <w:snapToGrid w:val="0"/>
              <w:spacing w:line="480" w:lineRule="exact"/>
              <w:rPr>
                <w:rFonts w:ascii="宋体" w:hAnsi="宋体"/>
                <w:sz w:val="20"/>
              </w:rPr>
            </w:pPr>
            <w:r>
              <w:rPr>
                <w:rFonts w:hint="eastAsia" w:ascii="宋体" w:hAnsi="宋体"/>
                <w:sz w:val="20"/>
              </w:rPr>
              <w:t>2、</w:t>
            </w:r>
            <w:r>
              <w:rPr>
                <w:rFonts w:ascii="宋体" w:hAnsi="宋体"/>
                <w:sz w:val="20"/>
              </w:rPr>
              <w:t>须</w:t>
            </w:r>
            <w:r>
              <w:rPr>
                <w:rFonts w:hint="eastAsia" w:ascii="宋体" w:hAnsi="宋体"/>
                <w:sz w:val="20"/>
              </w:rPr>
              <w:t>为供货前12小时</w:t>
            </w:r>
            <w:r>
              <w:rPr>
                <w:rFonts w:ascii="宋体" w:hAnsi="宋体"/>
                <w:sz w:val="20"/>
              </w:rPr>
              <w:t>内宰杀</w:t>
            </w:r>
            <w:r>
              <w:rPr>
                <w:rFonts w:hint="eastAsia" w:ascii="宋体" w:hAnsi="宋体"/>
                <w:sz w:val="20"/>
              </w:rPr>
              <w:t>且有检疫合格证;</w:t>
            </w:r>
          </w:p>
          <w:p>
            <w:pPr>
              <w:snapToGrid w:val="0"/>
              <w:spacing w:line="480" w:lineRule="exact"/>
              <w:rPr>
                <w:rFonts w:ascii="宋体" w:hAnsi="宋体"/>
                <w:sz w:val="20"/>
              </w:rPr>
            </w:pPr>
            <w:r>
              <w:rPr>
                <w:rFonts w:hint="eastAsia" w:ascii="宋体" w:hAnsi="宋体"/>
                <w:sz w:val="20"/>
              </w:rPr>
              <w:t>3、</w:t>
            </w:r>
            <w:r>
              <w:rPr>
                <w:rFonts w:ascii="宋体" w:hAnsi="宋体"/>
                <w:sz w:val="20"/>
              </w:rPr>
              <w:t>符合食品卫生</w:t>
            </w:r>
            <w:r>
              <w:rPr>
                <w:rFonts w:hint="eastAsia" w:ascii="宋体" w:hAnsi="宋体"/>
                <w:sz w:val="20"/>
              </w:rPr>
              <w:t>安全</w:t>
            </w:r>
            <w:r>
              <w:rPr>
                <w:rFonts w:ascii="宋体" w:hAnsi="宋体"/>
                <w:sz w:val="20"/>
              </w:rPr>
              <w:t>要求</w:t>
            </w:r>
            <w:r>
              <w:rPr>
                <w:rFonts w:hint="eastAsia" w:ascii="宋体" w:hAnsi="宋体"/>
                <w:sz w:val="20"/>
              </w:rPr>
              <w:t>和</w:t>
            </w:r>
            <w:r>
              <w:rPr>
                <w:rFonts w:ascii="宋体" w:hAnsi="宋体"/>
                <w:sz w:val="20"/>
              </w:rPr>
              <w:t>国家标准。</w:t>
            </w:r>
          </w:p>
          <w:p>
            <w:pPr>
              <w:jc w:val="left"/>
              <w:rPr>
                <w:rFonts w:ascii="宋体" w:hAnsi="宋体"/>
                <w:sz w:val="20"/>
              </w:rPr>
            </w:pPr>
          </w:p>
          <w:p>
            <w:pPr>
              <w:jc w:val="left"/>
              <w:rPr>
                <w:rFonts w:ascii="宋体" w:hAnsi="宋体"/>
                <w:sz w:val="20"/>
              </w:rPr>
            </w:pPr>
          </w:p>
        </w:tc>
        <w:tc>
          <w:tcPr>
            <w:tcW w:w="2220" w:type="dxa"/>
            <w:noWrap w:val="0"/>
            <w:vAlign w:val="center"/>
          </w:tcPr>
          <w:p>
            <w:pPr>
              <w:jc w:val="left"/>
              <w:rPr>
                <w:rFonts w:ascii="宋体" w:hAnsi="宋体"/>
                <w:sz w:val="20"/>
              </w:rPr>
            </w:pPr>
            <w:r>
              <w:rPr>
                <w:rFonts w:hint="eastAsia" w:ascii="宋体" w:hAnsi="宋体"/>
                <w:sz w:val="20"/>
              </w:rPr>
              <w:t>1、在万州应有不少于一家的实体店，在投标文件中有相关证明；</w:t>
            </w:r>
          </w:p>
          <w:p>
            <w:pPr>
              <w:jc w:val="center"/>
              <w:rPr>
                <w:rFonts w:ascii="宋体" w:hAnsi="宋体" w:cs="宋体"/>
                <w:sz w:val="20"/>
              </w:rPr>
            </w:pPr>
            <w:r>
              <w:rPr>
                <w:rFonts w:hint="eastAsia" w:ascii="宋体" w:hAnsi="宋体" w:cs="宋体"/>
                <w:sz w:val="20"/>
              </w:rPr>
              <w:t>2、公司注册资本不低于50万（个体工商户除外）</w:t>
            </w:r>
          </w:p>
          <w:p>
            <w:pPr>
              <w:jc w:val="left"/>
              <w:rPr>
                <w:rFonts w:ascii="宋体" w:hAnsi="宋体"/>
                <w:sz w:val="20"/>
              </w:rPr>
            </w:pPr>
            <w:r>
              <w:rPr>
                <w:rFonts w:hint="eastAsia" w:ascii="宋体" w:hAnsi="宋体" w:cs="宋体"/>
                <w:sz w:val="20"/>
              </w:rPr>
              <w:t>3、正常经营不低于1年。</w:t>
            </w:r>
          </w:p>
        </w:tc>
        <w:tc>
          <w:tcPr>
            <w:tcW w:w="1289" w:type="dxa"/>
            <w:noWrap w:val="0"/>
            <w:vAlign w:val="center"/>
          </w:tcPr>
          <w:p>
            <w:pPr>
              <w:jc w:val="center"/>
              <w:rPr>
                <w:rFonts w:ascii="宋体" w:hAnsi="宋体"/>
                <w:sz w:val="20"/>
              </w:rPr>
            </w:pPr>
            <w:r>
              <w:rPr>
                <w:rFonts w:hint="eastAsia" w:ascii="宋体" w:hAnsi="宋体"/>
                <w:sz w:val="20"/>
              </w:rPr>
              <w:t>1</w:t>
            </w:r>
          </w:p>
        </w:tc>
        <w:tc>
          <w:tcPr>
            <w:tcW w:w="1289" w:type="dxa"/>
            <w:noWrap w:val="0"/>
            <w:vAlign w:val="top"/>
          </w:tcPr>
          <w:p>
            <w:pPr>
              <w:jc w:val="center"/>
              <w:rPr>
                <w:rFonts w:ascii="宋体" w:hAnsi="宋体"/>
                <w:sz w:val="20"/>
              </w:rPr>
            </w:pPr>
            <w:r>
              <w:rPr>
                <w:rFonts w:hint="eastAsia" w:ascii="宋体" w:hAnsi="宋体"/>
                <w:sz w:val="20"/>
              </w:rPr>
              <w:t>1、一级、2、二级、3、整排、4、三级</w:t>
            </w:r>
          </w:p>
        </w:tc>
      </w:tr>
    </w:tbl>
    <w:p>
      <w:pPr>
        <w:pStyle w:val="4"/>
        <w:spacing w:line="240" w:lineRule="auto"/>
        <w:rPr>
          <w:rFonts w:hint="eastAsia" w:ascii="Calibri" w:hAnsi="Calibri" w:eastAsia="方正仿宋_GBK"/>
          <w:sz w:val="24"/>
          <w:szCs w:val="24"/>
          <w:lang w:val="en-US" w:eastAsia="zh-CN"/>
        </w:rPr>
      </w:pPr>
    </w:p>
    <w:p>
      <w:pPr>
        <w:pStyle w:val="4"/>
        <w:spacing w:line="240" w:lineRule="auto"/>
        <w:rPr>
          <w:rFonts w:hint="eastAsia" w:ascii="Calibri" w:hAnsi="Calibri" w:eastAsia="方正仿宋_GBK"/>
          <w:sz w:val="24"/>
          <w:szCs w:val="24"/>
          <w:lang w:val="en-US" w:eastAsia="zh-CN"/>
        </w:rPr>
      </w:pPr>
    </w:p>
    <w:p>
      <w:pPr>
        <w:pStyle w:val="4"/>
        <w:spacing w:line="240" w:lineRule="auto"/>
        <w:rPr>
          <w:rFonts w:hint="eastAsia" w:ascii="Times New Roman" w:hAnsi="Times New Roman" w:eastAsia="方正仿宋_GBK"/>
          <w:sz w:val="30"/>
          <w:szCs w:val="30"/>
        </w:rPr>
      </w:pPr>
      <w:bookmarkStart w:id="16" w:name="_Toc475624842"/>
      <w:r>
        <w:rPr>
          <w:rFonts w:hint="eastAsia"/>
          <w:sz w:val="24"/>
          <w:szCs w:val="24"/>
        </w:rPr>
        <w:t>备注：</w:t>
      </w:r>
      <w:r>
        <w:rPr>
          <w:rFonts w:hint="eastAsia" w:ascii="Times New Roman" w:hAnsi="Times New Roman" w:eastAsia="方正仿宋_GBK"/>
          <w:sz w:val="30"/>
          <w:szCs w:val="30"/>
        </w:rPr>
        <w:t xml:space="preserve"> </w:t>
      </w:r>
    </w:p>
    <w:p>
      <w:pPr>
        <w:pStyle w:val="4"/>
        <w:spacing w:line="240" w:lineRule="auto"/>
        <w:rPr>
          <w:sz w:val="24"/>
          <w:szCs w:val="24"/>
        </w:rPr>
      </w:pPr>
      <w:r>
        <w:rPr>
          <w:rFonts w:hint="eastAsia" w:ascii="Times New Roman" w:hAnsi="Times New Roman" w:eastAsia="方正仿宋_GBK"/>
          <w:sz w:val="30"/>
          <w:szCs w:val="30"/>
        </w:rPr>
        <w:t xml:space="preserve"> </w:t>
      </w:r>
      <w:r>
        <w:rPr>
          <w:rFonts w:hint="eastAsia" w:ascii="Times New Roman" w:hAnsi="Times New Roman" w:eastAsia="方正仿宋_GBK"/>
          <w:sz w:val="30"/>
          <w:szCs w:val="30"/>
          <w:lang w:val="en-US" w:eastAsia="zh-CN"/>
        </w:rPr>
        <w:t xml:space="preserve"> </w:t>
      </w:r>
      <w:r>
        <w:rPr>
          <w:rFonts w:hint="eastAsia"/>
          <w:sz w:val="24"/>
          <w:szCs w:val="22"/>
          <w:lang w:val="en-US" w:eastAsia="zh-CN"/>
        </w:rPr>
        <w:t xml:space="preserve"> 1、有效的分类供货单一报价作为中标人实际供价的最高限价；</w:t>
      </w:r>
    </w:p>
    <w:p>
      <w:pPr>
        <w:pStyle w:val="217"/>
        <w:ind w:firstLine="480"/>
        <w:rPr>
          <w:rFonts w:ascii="宋体" w:hAnsi="宋体"/>
          <w:sz w:val="24"/>
        </w:rPr>
      </w:pPr>
      <w:r>
        <w:rPr>
          <w:rFonts w:hint="eastAsia" w:ascii="宋体" w:hAnsi="宋体"/>
          <w:sz w:val="24"/>
        </w:rPr>
        <w:t>2、本次报价不作为实际供价，仅作为符合资格条件的供应商数量超过招标数量时排序使用，排序原则从低到高；</w:t>
      </w:r>
    </w:p>
    <w:p>
      <w:pPr>
        <w:pStyle w:val="4"/>
        <w:spacing w:line="240" w:lineRule="auto"/>
        <w:ind w:firstLine="480" w:firstLineChars="200"/>
        <w:rPr>
          <w:rFonts w:hint="eastAsia"/>
          <w:sz w:val="24"/>
          <w:szCs w:val="24"/>
        </w:rPr>
      </w:pPr>
      <w:r>
        <w:rPr>
          <w:rFonts w:hint="eastAsia"/>
          <w:sz w:val="24"/>
          <w:szCs w:val="24"/>
          <w:lang w:val="en-US" w:eastAsia="zh-CN"/>
        </w:rPr>
        <w:t>3、</w:t>
      </w:r>
      <w:r>
        <w:rPr>
          <w:rFonts w:hint="eastAsia"/>
          <w:sz w:val="24"/>
          <w:szCs w:val="24"/>
        </w:rPr>
        <w:t>报价品名可以多于必须报价品名，但不作为评分依据；</w:t>
      </w:r>
    </w:p>
    <w:p>
      <w:pPr>
        <w:pStyle w:val="4"/>
        <w:spacing w:line="240" w:lineRule="auto"/>
        <w:ind w:firstLine="480" w:firstLineChars="200"/>
        <w:rPr>
          <w:rFonts w:hint="eastAsia"/>
          <w:sz w:val="24"/>
          <w:szCs w:val="24"/>
        </w:rPr>
      </w:pPr>
      <w:r>
        <w:rPr>
          <w:rFonts w:hint="eastAsia"/>
          <w:sz w:val="24"/>
          <w:szCs w:val="24"/>
        </w:rPr>
        <w:t>4、商品报价要真实可信，若发现恶意报价，需按甲方要求现场提供一定数量的该商品，若不能现场提供，该投标人列入甲方黑名单。</w:t>
      </w:r>
    </w:p>
    <w:bookmarkEnd w:id="16"/>
    <w:p>
      <w:pPr>
        <w:pStyle w:val="4"/>
        <w:spacing w:line="240" w:lineRule="auto"/>
        <w:rPr>
          <w:sz w:val="24"/>
          <w:szCs w:val="24"/>
          <w:lang w:val="en-US" w:eastAsia="zh-CN"/>
        </w:rPr>
      </w:pPr>
      <w:r>
        <w:rPr>
          <w:rFonts w:hint="eastAsia"/>
          <w:sz w:val="24"/>
          <w:szCs w:val="24"/>
          <w:lang w:val="en-US" w:eastAsia="zh-CN"/>
        </w:rPr>
        <w:t xml:space="preserve">      </w:t>
      </w:r>
    </w:p>
    <w:p>
      <w:pPr>
        <w:spacing w:line="400" w:lineRule="exact"/>
        <w:ind w:firstLine="480" w:firstLineChars="200"/>
        <w:outlineLvl w:val="2"/>
        <w:rPr>
          <w:rFonts w:hint="eastAsia" w:ascii="仿宋" w:hAnsi="仿宋" w:eastAsia="仿宋"/>
          <w:sz w:val="24"/>
          <w:szCs w:val="28"/>
        </w:rPr>
      </w:pPr>
    </w:p>
    <w:p>
      <w:pPr>
        <w:pStyle w:val="3"/>
        <w:spacing w:before="0" w:beforeLines="0" w:after="0" w:afterLines="0" w:line="360" w:lineRule="auto"/>
        <w:jc w:val="both"/>
        <w:rPr>
          <w:rFonts w:hint="eastAsia" w:ascii="仿宋" w:hAnsi="仿宋" w:eastAsia="仿宋"/>
          <w:b/>
        </w:rPr>
      </w:pPr>
    </w:p>
    <w:p>
      <w:pPr>
        <w:pStyle w:val="3"/>
        <w:spacing w:before="0" w:beforeLines="0" w:after="0" w:afterLines="0" w:line="360" w:lineRule="auto"/>
        <w:rPr>
          <w:rFonts w:hint="eastAsia" w:ascii="仿宋" w:hAnsi="仿宋" w:eastAsia="仿宋"/>
          <w:b/>
        </w:rPr>
      </w:pPr>
    </w:p>
    <w:p>
      <w:pPr>
        <w:pStyle w:val="3"/>
        <w:spacing w:before="0" w:beforeLines="0" w:after="0" w:afterLines="0" w:line="360" w:lineRule="auto"/>
        <w:rPr>
          <w:rFonts w:hint="eastAsia" w:ascii="仿宋" w:hAnsi="仿宋" w:eastAsia="仿宋"/>
          <w:b/>
        </w:rPr>
      </w:pPr>
    </w:p>
    <w:p>
      <w:pPr>
        <w:pStyle w:val="3"/>
        <w:spacing w:before="0" w:beforeLines="0" w:after="0" w:afterLines="0" w:line="360" w:lineRule="auto"/>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rPr>
      </w:pPr>
    </w:p>
    <w:p>
      <w:pPr>
        <w:pStyle w:val="3"/>
        <w:spacing w:before="0" w:beforeLines="0" w:after="0" w:afterLines="0" w:line="360" w:lineRule="auto"/>
        <w:rPr>
          <w:rFonts w:hint="eastAsia" w:ascii="仿宋" w:hAnsi="仿宋" w:eastAsia="仿宋"/>
          <w:b/>
        </w:rPr>
      </w:pPr>
      <w:bookmarkStart w:id="17" w:name="_Toc25689"/>
      <w:r>
        <w:rPr>
          <w:rFonts w:hint="eastAsia" w:ascii="仿宋" w:hAnsi="仿宋" w:eastAsia="仿宋"/>
          <w:b/>
        </w:rPr>
        <w:t>第三篇  项目商务要求</w:t>
      </w:r>
      <w:bookmarkEnd w:id="17"/>
    </w:p>
    <w:p>
      <w:pPr>
        <w:spacing w:line="360" w:lineRule="exact"/>
        <w:rPr>
          <w:rFonts w:hint="eastAsia" w:ascii="仿宋" w:hAnsi="仿宋" w:eastAsia="仿宋"/>
          <w:b/>
          <w:sz w:val="24"/>
          <w:szCs w:val="24"/>
        </w:rPr>
      </w:pPr>
      <w:bookmarkStart w:id="18" w:name="_Toc267320049"/>
      <w:bookmarkStart w:id="19" w:name="_Toc408840513"/>
      <w:r>
        <w:rPr>
          <w:rFonts w:hint="eastAsia" w:ascii="仿宋" w:hAnsi="仿宋" w:eastAsia="仿宋"/>
          <w:b/>
          <w:sz w:val="24"/>
          <w:szCs w:val="24"/>
        </w:rPr>
        <w:t>一、</w:t>
      </w:r>
      <w:bookmarkEnd w:id="18"/>
      <w:bookmarkEnd w:id="19"/>
      <w:r>
        <w:rPr>
          <w:rFonts w:hint="eastAsia" w:ascii="仿宋" w:hAnsi="仿宋" w:eastAsia="仿宋"/>
          <w:b/>
          <w:sz w:val="24"/>
          <w:szCs w:val="24"/>
        </w:rPr>
        <w:t>货物包装、交货时间、地点及验收方式</w:t>
      </w:r>
    </w:p>
    <w:p>
      <w:pPr>
        <w:spacing w:line="360" w:lineRule="exact"/>
        <w:ind w:firstLine="480" w:firstLineChars="200"/>
        <w:rPr>
          <w:rFonts w:hint="eastAsia" w:ascii="仿宋" w:hAnsi="仿宋" w:eastAsia="仿宋"/>
          <w:sz w:val="24"/>
          <w:szCs w:val="24"/>
        </w:rPr>
      </w:pPr>
      <w:bookmarkStart w:id="20" w:name="_Toc267320050"/>
      <w:r>
        <w:rPr>
          <w:rFonts w:hint="eastAsia" w:ascii="仿宋" w:hAnsi="仿宋" w:eastAsia="仿宋"/>
          <w:sz w:val="24"/>
          <w:szCs w:val="24"/>
        </w:rPr>
        <w:t>1、交货时间：根据售卖情况及时供货。</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2、交货地点：采购单位指定地点。</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3、验货标准：符合技术规范和技术标准，符合采购的数量。</w:t>
      </w:r>
    </w:p>
    <w:p>
      <w:pPr>
        <w:spacing w:line="360" w:lineRule="exact"/>
        <w:ind w:firstLine="480" w:firstLineChars="200"/>
        <w:rPr>
          <w:rFonts w:hint="eastAsia" w:ascii="仿宋" w:hAnsi="仿宋" w:eastAsia="仿宋"/>
          <w:sz w:val="24"/>
          <w:szCs w:val="24"/>
        </w:rPr>
      </w:pPr>
      <w:bookmarkStart w:id="21" w:name="_Toc408840514"/>
      <w:r>
        <w:rPr>
          <w:rFonts w:hint="eastAsia" w:ascii="仿宋" w:hAnsi="仿宋" w:eastAsia="仿宋"/>
          <w:sz w:val="24"/>
          <w:szCs w:val="24"/>
        </w:rPr>
        <w:t>4、验货前产生的一切费用由供方提供。</w:t>
      </w:r>
    </w:p>
    <w:p>
      <w:pPr>
        <w:spacing w:line="360" w:lineRule="exact"/>
        <w:rPr>
          <w:rFonts w:hint="eastAsia" w:ascii="仿宋" w:hAnsi="仿宋" w:eastAsia="仿宋"/>
          <w:b/>
          <w:sz w:val="24"/>
          <w:szCs w:val="24"/>
        </w:rPr>
      </w:pPr>
      <w:r>
        <w:rPr>
          <w:rFonts w:hint="eastAsia" w:ascii="仿宋" w:hAnsi="仿宋" w:eastAsia="仿宋"/>
          <w:b/>
          <w:sz w:val="24"/>
          <w:szCs w:val="24"/>
        </w:rPr>
        <w:t>二、</w:t>
      </w:r>
      <w:bookmarkEnd w:id="21"/>
      <w:r>
        <w:rPr>
          <w:rFonts w:hint="eastAsia" w:ascii="仿宋" w:hAnsi="仿宋" w:eastAsia="仿宋"/>
          <w:b/>
          <w:sz w:val="24"/>
          <w:szCs w:val="24"/>
        </w:rPr>
        <w:t>质量保证及售后服务内容</w:t>
      </w:r>
    </w:p>
    <w:p>
      <w:pPr>
        <w:spacing w:line="360" w:lineRule="exact"/>
        <w:ind w:firstLine="480" w:firstLineChars="200"/>
        <w:rPr>
          <w:rFonts w:hint="eastAsia" w:ascii="仿宋" w:hAnsi="仿宋" w:eastAsia="仿宋"/>
          <w:sz w:val="24"/>
          <w:szCs w:val="24"/>
        </w:rPr>
      </w:pPr>
      <w:bookmarkStart w:id="22" w:name="_Toc408840515"/>
      <w:r>
        <w:rPr>
          <w:rFonts w:hint="eastAsia" w:ascii="仿宋" w:hAnsi="仿宋" w:eastAsia="仿宋"/>
          <w:sz w:val="24"/>
          <w:szCs w:val="24"/>
        </w:rPr>
        <w:t>售后服务内容</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1、采购货物属于国家规定“三包”范围的，其产品质量保证期不得低于“三包”规定。</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2、对变质、发霉货物及时更换。</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3、保证货品质量。</w:t>
      </w:r>
    </w:p>
    <w:p>
      <w:pPr>
        <w:spacing w:line="360" w:lineRule="exact"/>
        <w:rPr>
          <w:rFonts w:hint="eastAsia" w:ascii="仿宋" w:hAnsi="仿宋" w:eastAsia="仿宋"/>
          <w:b/>
          <w:sz w:val="24"/>
          <w:szCs w:val="24"/>
        </w:rPr>
      </w:pPr>
      <w:r>
        <w:rPr>
          <w:rFonts w:hint="eastAsia" w:ascii="仿宋" w:hAnsi="仿宋" w:eastAsia="仿宋"/>
          <w:b/>
          <w:sz w:val="24"/>
          <w:szCs w:val="24"/>
        </w:rPr>
        <w:t>三、</w:t>
      </w:r>
      <w:bookmarkEnd w:id="20"/>
      <w:bookmarkEnd w:id="22"/>
      <w:r>
        <w:rPr>
          <w:rFonts w:hint="eastAsia" w:ascii="仿宋" w:hAnsi="仿宋" w:eastAsia="仿宋"/>
          <w:b/>
          <w:sz w:val="24"/>
          <w:szCs w:val="24"/>
        </w:rPr>
        <w:t>货款支付</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1、每月25日对本月供货货物进行对账；</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2、次月1日按财务要求把资料交予学校财务人员；</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3、次月财务完成审核后，支付上月货款；</w:t>
      </w:r>
    </w:p>
    <w:p>
      <w:pPr>
        <w:spacing w:line="360" w:lineRule="exact"/>
        <w:rPr>
          <w:rFonts w:hint="eastAsia" w:ascii="仿宋" w:hAnsi="仿宋" w:eastAsia="仿宋"/>
          <w:b/>
          <w:sz w:val="24"/>
          <w:szCs w:val="24"/>
        </w:rPr>
      </w:pPr>
      <w:r>
        <w:rPr>
          <w:rFonts w:hint="eastAsia" w:ascii="仿宋" w:hAnsi="仿宋" w:eastAsia="仿宋"/>
          <w:b/>
          <w:sz w:val="24"/>
          <w:szCs w:val="24"/>
        </w:rPr>
        <w:t>四、其他</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1、供应商必须在响应文件中对以上条款和服务承诺明确列出，承诺内容必须达到本篇及询价采购文件（即招标文件）其他条款的要求。</w:t>
      </w:r>
    </w:p>
    <w:p>
      <w:pPr>
        <w:spacing w:line="360" w:lineRule="exact"/>
        <w:ind w:firstLine="480" w:firstLineChars="200"/>
        <w:rPr>
          <w:rFonts w:hint="eastAsia" w:ascii="仿宋" w:hAnsi="仿宋" w:eastAsia="仿宋"/>
          <w:sz w:val="24"/>
          <w:szCs w:val="24"/>
        </w:rPr>
      </w:pPr>
      <w:r>
        <w:rPr>
          <w:rFonts w:hint="eastAsia" w:ascii="仿宋" w:hAnsi="仿宋" w:eastAsia="仿宋"/>
          <w:sz w:val="24"/>
          <w:szCs w:val="24"/>
        </w:rPr>
        <w:t>2、其他未尽事宜由供需双方在采购合同中详细约定。</w:t>
      </w:r>
    </w:p>
    <w:p>
      <w:pPr>
        <w:snapToGrid w:val="0"/>
        <w:spacing w:line="400" w:lineRule="exact"/>
        <w:ind w:firstLine="480" w:firstLineChars="200"/>
        <w:rPr>
          <w:rFonts w:hint="eastAsia" w:ascii="仿宋" w:hAnsi="仿宋" w:eastAsia="仿宋" w:cs="宋体"/>
          <w:kern w:val="0"/>
          <w:sz w:val="24"/>
          <w:szCs w:val="24"/>
        </w:rPr>
      </w:pPr>
    </w:p>
    <w:p>
      <w:pPr>
        <w:pStyle w:val="3"/>
        <w:spacing w:before="0" w:beforeLines="0" w:after="0" w:afterLines="0" w:line="360" w:lineRule="auto"/>
        <w:rPr>
          <w:rFonts w:hint="eastAsia" w:ascii="仿宋" w:hAnsi="仿宋" w:eastAsia="仿宋"/>
          <w:b/>
        </w:rPr>
      </w:pPr>
      <w:r>
        <w:rPr>
          <w:rFonts w:ascii="仿宋" w:hAnsi="仿宋" w:eastAsia="仿宋"/>
          <w:sz w:val="28"/>
        </w:rPr>
        <w:br w:type="page"/>
      </w:r>
      <w:bookmarkStart w:id="23" w:name="_Toc2844"/>
      <w:r>
        <w:rPr>
          <w:rFonts w:hint="eastAsia" w:ascii="仿宋" w:hAnsi="仿宋" w:eastAsia="仿宋"/>
          <w:b/>
        </w:rPr>
        <w:t>第四篇  资格审查及评标办法</w:t>
      </w:r>
      <w:bookmarkEnd w:id="23"/>
    </w:p>
    <w:p>
      <w:pPr>
        <w:pStyle w:val="4"/>
        <w:spacing w:line="400" w:lineRule="exact"/>
        <w:ind w:firstLine="482" w:firstLineChars="200"/>
        <w:rPr>
          <w:rFonts w:hint="eastAsia" w:ascii="仿宋" w:hAnsi="仿宋" w:eastAsia="仿宋"/>
          <w:b/>
          <w:sz w:val="24"/>
          <w:szCs w:val="24"/>
          <w:lang w:eastAsia="zh-CN"/>
        </w:rPr>
      </w:pPr>
      <w:bookmarkStart w:id="24" w:name="_Toc492721015"/>
      <w:bookmarkStart w:id="25" w:name="_Toc3835"/>
      <w:r>
        <w:rPr>
          <w:rFonts w:hint="eastAsia" w:ascii="仿宋" w:hAnsi="仿宋" w:eastAsia="仿宋"/>
          <w:b/>
          <w:sz w:val="24"/>
          <w:szCs w:val="24"/>
        </w:rPr>
        <w:t>一、资格审查</w:t>
      </w:r>
      <w:bookmarkEnd w:id="24"/>
      <w:bookmarkEnd w:id="25"/>
    </w:p>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依据政府采购相关法律法规规定,由采购人或采购代理机构对投标文件中的资格证明文件进行审查。资格审查资料表如下：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5102" w:type="dxa"/>
            <w:gridSpan w:val="2"/>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检查因素</w:t>
            </w:r>
          </w:p>
        </w:tc>
        <w:tc>
          <w:tcPr>
            <w:tcW w:w="3850" w:type="dxa"/>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1</w:t>
            </w:r>
          </w:p>
        </w:tc>
        <w:tc>
          <w:tcPr>
            <w:tcW w:w="709" w:type="dxa"/>
            <w:vMerge w:val="restart"/>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投标人应符合的基本资格条件</w:t>
            </w:r>
          </w:p>
        </w:tc>
        <w:tc>
          <w:tcPr>
            <w:tcW w:w="4393"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（1）具有独立承担民事责任的能力</w:t>
            </w:r>
          </w:p>
        </w:tc>
        <w:tc>
          <w:tcPr>
            <w:tcW w:w="3850"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投标人法人营业执照（副本）或事业单位法人证书（副本）或个体工商户营业执照或有效的自然人身份证明、组织机构代码证复印件（注</w:t>
            </w:r>
            <w:r>
              <w:rPr>
                <w:rFonts w:hint="eastAsia" w:ascii="仿宋" w:hAnsi="仿宋" w:eastAsia="仿宋"/>
                <w:sz w:val="21"/>
                <w:szCs w:val="21"/>
              </w:rPr>
              <w:fldChar w:fldCharType="begin"/>
            </w:r>
            <w:r>
              <w:rPr>
                <w:rFonts w:hint="eastAsia" w:ascii="仿宋" w:hAnsi="仿宋" w:eastAsia="仿宋"/>
                <w:sz w:val="21"/>
                <w:szCs w:val="21"/>
              </w:rPr>
              <w:instrText xml:space="preserve"> eq \o\ac(○,1)</w:instrText>
            </w:r>
            <w:r>
              <w:rPr>
                <w:rFonts w:hint="eastAsia" w:ascii="仿宋" w:hAnsi="仿宋" w:eastAsia="仿宋"/>
                <w:sz w:val="21"/>
                <w:szCs w:val="21"/>
              </w:rPr>
              <w:fldChar w:fldCharType="end"/>
            </w:r>
            <w:r>
              <w:rPr>
                <w:rFonts w:hint="eastAsia" w:ascii="仿宋" w:hAnsi="仿宋" w:eastAsia="仿宋"/>
                <w:sz w:val="21"/>
                <w:szCs w:val="21"/>
              </w:rPr>
              <w:t xml:space="preserve">）； </w:t>
            </w:r>
          </w:p>
          <w:p>
            <w:pPr>
              <w:spacing w:line="240" w:lineRule="exact"/>
              <w:rPr>
                <w:rFonts w:hint="eastAsia" w:ascii="仿宋" w:hAnsi="仿宋" w:eastAsia="仿宋"/>
                <w:sz w:val="21"/>
                <w:szCs w:val="21"/>
              </w:rPr>
            </w:pPr>
            <w:r>
              <w:rPr>
                <w:rFonts w:hint="eastAsia" w:ascii="仿宋" w:hAnsi="仿宋" w:eastAsia="仿宋"/>
                <w:sz w:val="21"/>
                <w:szCs w:val="21"/>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vMerge w:val="continue"/>
            <w:noWrap w:val="0"/>
            <w:vAlign w:val="center"/>
          </w:tcPr>
          <w:p>
            <w:pPr>
              <w:spacing w:line="240" w:lineRule="exact"/>
              <w:jc w:val="center"/>
              <w:rPr>
                <w:rFonts w:hint="eastAsia" w:ascii="仿宋" w:hAnsi="仿宋" w:eastAsia="仿宋"/>
                <w:sz w:val="21"/>
                <w:szCs w:val="21"/>
              </w:rPr>
            </w:pPr>
          </w:p>
        </w:tc>
        <w:tc>
          <w:tcPr>
            <w:tcW w:w="709" w:type="dxa"/>
            <w:vMerge w:val="continue"/>
            <w:noWrap w:val="0"/>
            <w:vAlign w:val="center"/>
          </w:tcPr>
          <w:p>
            <w:pPr>
              <w:spacing w:line="240" w:lineRule="exact"/>
              <w:rPr>
                <w:rFonts w:hint="eastAsia" w:ascii="仿宋" w:hAnsi="仿宋" w:eastAsia="仿宋" w:cs="仿宋_GB2312"/>
                <w:sz w:val="21"/>
                <w:szCs w:val="21"/>
                <w:lang w:val="zh-CN"/>
              </w:rPr>
            </w:pPr>
          </w:p>
        </w:tc>
        <w:tc>
          <w:tcPr>
            <w:tcW w:w="4393" w:type="dxa"/>
            <w:noWrap w:val="0"/>
            <w:vAlign w:val="center"/>
          </w:tcPr>
          <w:p>
            <w:pPr>
              <w:spacing w:line="240" w:lineRule="exact"/>
              <w:rPr>
                <w:rFonts w:hint="eastAsia"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3850" w:type="dxa"/>
            <w:vMerge w:val="restart"/>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1、供应商提供诚信声明；2、响应文件中有缴纳社保的记录将优先考虑及排序（其原则优于报价）；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6" w:type="dxa"/>
            <w:vMerge w:val="continue"/>
            <w:noWrap w:val="0"/>
            <w:vAlign w:val="center"/>
          </w:tcPr>
          <w:p>
            <w:pPr>
              <w:spacing w:line="240" w:lineRule="exact"/>
              <w:jc w:val="center"/>
              <w:rPr>
                <w:rFonts w:hint="eastAsia" w:ascii="仿宋" w:hAnsi="仿宋" w:eastAsia="仿宋"/>
                <w:sz w:val="21"/>
                <w:szCs w:val="21"/>
              </w:rPr>
            </w:pPr>
          </w:p>
        </w:tc>
        <w:tc>
          <w:tcPr>
            <w:tcW w:w="709" w:type="dxa"/>
            <w:vMerge w:val="continue"/>
            <w:noWrap w:val="0"/>
            <w:vAlign w:val="center"/>
          </w:tcPr>
          <w:p>
            <w:pPr>
              <w:spacing w:line="240" w:lineRule="exact"/>
              <w:rPr>
                <w:rFonts w:hint="eastAsia" w:ascii="仿宋" w:hAnsi="仿宋" w:eastAsia="仿宋" w:cs="仿宋_GB2312"/>
                <w:sz w:val="21"/>
                <w:szCs w:val="21"/>
                <w:lang w:val="zh-CN"/>
              </w:rPr>
            </w:pPr>
          </w:p>
        </w:tc>
        <w:tc>
          <w:tcPr>
            <w:tcW w:w="4393" w:type="dxa"/>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3850" w:type="dxa"/>
            <w:vMerge w:val="continue"/>
            <w:noWrap w:val="0"/>
            <w:vAlign w:val="center"/>
          </w:tcPr>
          <w:p>
            <w:pPr>
              <w:spacing w:line="240" w:lineRule="exac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仿宋" w:hAnsi="仿宋" w:eastAsia="仿宋"/>
                <w:sz w:val="21"/>
                <w:szCs w:val="21"/>
              </w:rPr>
            </w:pPr>
          </w:p>
        </w:tc>
        <w:tc>
          <w:tcPr>
            <w:tcW w:w="709" w:type="dxa"/>
            <w:vMerge w:val="continue"/>
            <w:noWrap w:val="0"/>
            <w:vAlign w:val="center"/>
          </w:tcPr>
          <w:p>
            <w:pPr>
              <w:spacing w:line="240" w:lineRule="exact"/>
              <w:rPr>
                <w:rFonts w:hint="eastAsia" w:ascii="仿宋" w:hAnsi="仿宋" w:eastAsia="仿宋" w:cs="仿宋_GB2312"/>
                <w:sz w:val="21"/>
                <w:szCs w:val="21"/>
                <w:lang w:val="zh-CN"/>
              </w:rPr>
            </w:pPr>
          </w:p>
        </w:tc>
        <w:tc>
          <w:tcPr>
            <w:tcW w:w="4393" w:type="dxa"/>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3850" w:type="dxa"/>
            <w:vMerge w:val="continue"/>
            <w:noWrap w:val="0"/>
            <w:vAlign w:val="center"/>
          </w:tcPr>
          <w:p>
            <w:pPr>
              <w:spacing w:line="240" w:lineRule="exac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仿宋" w:hAnsi="仿宋" w:eastAsia="仿宋"/>
                <w:sz w:val="21"/>
                <w:szCs w:val="21"/>
              </w:rPr>
            </w:pPr>
          </w:p>
        </w:tc>
        <w:tc>
          <w:tcPr>
            <w:tcW w:w="709" w:type="dxa"/>
            <w:vMerge w:val="continue"/>
            <w:noWrap w:val="0"/>
            <w:vAlign w:val="center"/>
          </w:tcPr>
          <w:p>
            <w:pPr>
              <w:spacing w:line="240" w:lineRule="exact"/>
              <w:rPr>
                <w:rFonts w:hint="eastAsia" w:ascii="仿宋" w:hAnsi="仿宋" w:eastAsia="仿宋" w:cs="仿宋_GB2312"/>
                <w:sz w:val="21"/>
                <w:szCs w:val="21"/>
                <w:lang w:val="zh-CN"/>
              </w:rPr>
            </w:pPr>
          </w:p>
        </w:tc>
        <w:tc>
          <w:tcPr>
            <w:tcW w:w="4393" w:type="dxa"/>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3</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1"/>
                <w:szCs w:val="21"/>
              </w:rPr>
              <w:t>）</w:t>
            </w:r>
          </w:p>
        </w:tc>
        <w:tc>
          <w:tcPr>
            <w:tcW w:w="3850"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1.投标人提供书面声明（见格式文件）；</w:t>
            </w:r>
          </w:p>
          <w:p>
            <w:pPr>
              <w:spacing w:line="240" w:lineRule="exact"/>
              <w:rPr>
                <w:rFonts w:hint="eastAsia" w:ascii="仿宋" w:hAnsi="仿宋" w:eastAsia="仿宋"/>
                <w:b/>
                <w:sz w:val="21"/>
                <w:szCs w:val="21"/>
              </w:rPr>
            </w:pPr>
            <w:r>
              <w:rPr>
                <w:rFonts w:hint="eastAsia" w:ascii="仿宋" w:hAnsi="仿宋" w:eastAsia="仿宋"/>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0"/>
            <w:vAlign w:val="center"/>
          </w:tcPr>
          <w:p>
            <w:pPr>
              <w:spacing w:line="240" w:lineRule="exact"/>
              <w:jc w:val="center"/>
              <w:rPr>
                <w:rFonts w:hint="eastAsia" w:ascii="仿宋" w:hAnsi="仿宋" w:eastAsia="仿宋"/>
                <w:sz w:val="21"/>
                <w:szCs w:val="21"/>
              </w:rPr>
            </w:pPr>
          </w:p>
        </w:tc>
        <w:tc>
          <w:tcPr>
            <w:tcW w:w="709" w:type="dxa"/>
            <w:vMerge w:val="continue"/>
            <w:noWrap w:val="0"/>
            <w:vAlign w:val="center"/>
          </w:tcPr>
          <w:p>
            <w:pPr>
              <w:spacing w:line="240" w:lineRule="exact"/>
              <w:rPr>
                <w:rFonts w:hint="eastAsia" w:ascii="仿宋" w:hAnsi="仿宋" w:eastAsia="仿宋" w:cs="仿宋_GB2312"/>
                <w:sz w:val="21"/>
                <w:szCs w:val="21"/>
              </w:rPr>
            </w:pPr>
          </w:p>
        </w:tc>
        <w:tc>
          <w:tcPr>
            <w:tcW w:w="4393"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（6）法律、行政法规规定的其他条件</w:t>
            </w:r>
          </w:p>
        </w:tc>
        <w:tc>
          <w:tcPr>
            <w:tcW w:w="3850" w:type="dxa"/>
            <w:noWrap w:val="0"/>
            <w:vAlign w:val="center"/>
          </w:tcPr>
          <w:p>
            <w:pPr>
              <w:spacing w:line="240" w:lineRule="exac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2</w:t>
            </w:r>
          </w:p>
        </w:tc>
        <w:tc>
          <w:tcPr>
            <w:tcW w:w="5102" w:type="dxa"/>
            <w:gridSpan w:val="2"/>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特定资格条件</w:t>
            </w:r>
          </w:p>
        </w:tc>
        <w:tc>
          <w:tcPr>
            <w:tcW w:w="3850"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3</w:t>
            </w:r>
          </w:p>
        </w:tc>
        <w:tc>
          <w:tcPr>
            <w:tcW w:w="5102" w:type="dxa"/>
            <w:gridSpan w:val="2"/>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投标保证金</w:t>
            </w:r>
          </w:p>
        </w:tc>
        <w:tc>
          <w:tcPr>
            <w:tcW w:w="3850" w:type="dxa"/>
            <w:noWrap w:val="0"/>
            <w:vAlign w:val="center"/>
          </w:tcPr>
          <w:p>
            <w:pPr>
              <w:spacing w:line="240" w:lineRule="exact"/>
              <w:rPr>
                <w:rFonts w:hint="eastAsia" w:ascii="仿宋" w:hAnsi="仿宋" w:eastAsia="仿宋"/>
                <w:sz w:val="21"/>
                <w:szCs w:val="21"/>
              </w:rPr>
            </w:pPr>
            <w:r>
              <w:rPr>
                <w:rFonts w:hint="eastAsia" w:ascii="仿宋" w:hAnsi="仿宋" w:eastAsia="仿宋"/>
                <w:sz w:val="21"/>
                <w:szCs w:val="21"/>
              </w:rPr>
              <w:t>按照招标文件的规定提交投标保证金</w:t>
            </w:r>
          </w:p>
        </w:tc>
      </w:tr>
    </w:tbl>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注：</w:t>
      </w:r>
    </w:p>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fldChar w:fldCharType="begin"/>
      </w:r>
      <w:r>
        <w:rPr>
          <w:rFonts w:hint="eastAsia" w:ascii="仿宋" w:hAnsi="仿宋" w:eastAsia="仿宋" w:cs="宋体"/>
          <w:kern w:val="0"/>
          <w:sz w:val="24"/>
          <w:szCs w:val="24"/>
        </w:rPr>
        <w:instrText xml:space="preserve"> eq \o\ac(○,1)</w:instrText>
      </w:r>
      <w:r>
        <w:rPr>
          <w:rFonts w:hint="eastAsia" w:ascii="仿宋" w:hAnsi="仿宋" w:eastAsia="仿宋" w:cs="宋体"/>
          <w:kern w:val="0"/>
          <w:sz w:val="24"/>
          <w:szCs w:val="24"/>
        </w:rPr>
        <w:fldChar w:fldCharType="end"/>
      </w:r>
      <w:r>
        <w:rPr>
          <w:rFonts w:hint="eastAsia" w:ascii="仿宋" w:hAnsi="仿宋" w:eastAsia="仿宋" w:cs="宋体"/>
          <w:kern w:val="0"/>
          <w:sz w:val="24"/>
          <w:szCs w:val="24"/>
        </w:rPr>
        <w:t>投标人营业执照、税务登记证、组织机构代码证或加载统一社会信用代码的三证合一营业执照（副本）复印件为准。</w:t>
      </w:r>
    </w:p>
    <w:p>
      <w:pPr>
        <w:snapToGrid w:val="0"/>
        <w:spacing w:line="400" w:lineRule="exact"/>
        <w:ind w:firstLine="480" w:firstLineChars="200"/>
        <w:rPr>
          <w:rFonts w:hint="eastAsia"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2</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根据《</w:t>
      </w:r>
      <w:r>
        <w:rPr>
          <w:rFonts w:ascii="仿宋" w:hAnsi="仿宋" w:eastAsia="仿宋" w:cs="宋体"/>
          <w:kern w:val="0"/>
          <w:sz w:val="24"/>
          <w:szCs w:val="24"/>
        </w:rPr>
        <w:t>中华人民共和国政府采购法实施条例</w:t>
      </w:r>
      <w:r>
        <w:rPr>
          <w:rFonts w:hint="eastAsia" w:ascii="仿宋" w:hAnsi="仿宋" w:eastAsia="仿宋" w:cs="宋体"/>
          <w:kern w:val="0"/>
          <w:sz w:val="24"/>
          <w:szCs w:val="24"/>
        </w:rPr>
        <w:t>》第十九条“参加政府采购活动前三年内，在经营活动中没有重大违法记录”中“重大违法记录”</w:t>
      </w:r>
      <w:r>
        <w:rPr>
          <w:rFonts w:ascii="仿宋" w:hAnsi="仿宋" w:eastAsia="仿宋" w:cs="宋体"/>
          <w:kern w:val="0"/>
          <w:sz w:val="24"/>
          <w:szCs w:val="24"/>
        </w:rPr>
        <w:t>，是指投标人因违法经营受到刑事处罚或者责令停产停业、吊销许可证或者执照、较大数额罚款等行政处罚。</w:t>
      </w:r>
      <w:r>
        <w:rPr>
          <w:rFonts w:hint="eastAsia" w:ascii="仿宋" w:hAnsi="仿宋" w:eastAsia="仿宋" w:cs="宋体"/>
          <w:kern w:val="0"/>
          <w:sz w:val="24"/>
          <w:szCs w:val="24"/>
        </w:rPr>
        <w:t>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hint="eastAsia" w:ascii="仿宋" w:hAnsi="仿宋" w:eastAsia="仿宋" w:cs="仿宋"/>
          <w:kern w:val="0"/>
          <w:sz w:val="24"/>
          <w:szCs w:val="24"/>
        </w:rPr>
      </w:pPr>
      <w:bookmarkStart w:id="26" w:name="_Toc8294"/>
      <w:r>
        <w:rPr>
          <w:rFonts w:hint="eastAsia" w:ascii="仿宋" w:hAnsi="仿宋" w:eastAsia="仿宋" w:cs="仿宋"/>
          <w:kern w:val="0"/>
          <w:sz w:val="24"/>
          <w:szCs w:val="24"/>
        </w:rPr>
        <w:t>二、评标方法</w:t>
      </w:r>
      <w:bookmarkEnd w:id="26"/>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本项目采用综合评分法进行评标。</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投标人总得分为价格、技术等评定因素分别按照相应权重值计算分项得分后相加，满分为100分。</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工作由采购代理机构负责组织，具体评标事务由采购代理机构依法组建的评标委员会负责。评标委员会由3人组成，全部3人按相关规定随机抽取。评标委员会成员到位后，推举其中一位评审专家担任评审组长，并由评审组长牵头组织该项目评审工作。评标委员会按以下程序独立履行评审职责：</w:t>
      </w:r>
    </w:p>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（一）符合性审查</w:t>
      </w:r>
    </w:p>
    <w:p>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cs="宋体"/>
          <w:kern w:val="0"/>
          <w:sz w:val="24"/>
          <w:szCs w:val="24"/>
        </w:rPr>
        <w:t>评标委员会应当对符合资格的投标人的投标文件进行符合性审查，以确定其是否满足招标文件的实质性要求。</w:t>
      </w:r>
      <w:r>
        <w:rPr>
          <w:rFonts w:hint="eastAsia" w:ascii="仿宋" w:hAnsi="仿宋" w:eastAsia="仿宋"/>
          <w:kern w:val="0"/>
          <w:sz w:val="24"/>
          <w:szCs w:val="24"/>
        </w:rPr>
        <w:t>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3546" w:type="dxa"/>
            <w:gridSpan w:val="2"/>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noWrap w:val="0"/>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noWrap w:val="0"/>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1</w:t>
            </w:r>
          </w:p>
        </w:tc>
        <w:tc>
          <w:tcPr>
            <w:tcW w:w="1562" w:type="dxa"/>
            <w:vMerge w:val="restart"/>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sz w:val="21"/>
                <w:szCs w:val="21"/>
              </w:rPr>
              <w:t>投标文件签署</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ascii="仿宋" w:hAnsi="仿宋" w:eastAsia="仿宋" w:cs="宋体"/>
                <w:kern w:val="0"/>
                <w:sz w:val="21"/>
                <w:szCs w:val="21"/>
              </w:rPr>
            </w:pPr>
          </w:p>
        </w:tc>
        <w:tc>
          <w:tcPr>
            <w:tcW w:w="1562" w:type="dxa"/>
            <w:vMerge w:val="continue"/>
            <w:noWrap w:val="0"/>
            <w:vAlign w:val="center"/>
          </w:tcPr>
          <w:p>
            <w:pPr>
              <w:spacing w:line="240" w:lineRule="exact"/>
              <w:rPr>
                <w:rFonts w:hint="eastAsia" w:ascii="仿宋" w:hAnsi="仿宋" w:eastAsia="仿宋" w:cs="宋体"/>
                <w:kern w:val="0"/>
                <w:sz w:val="21"/>
                <w:szCs w:val="21"/>
              </w:rPr>
            </w:pPr>
          </w:p>
        </w:tc>
        <w:tc>
          <w:tcPr>
            <w:tcW w:w="1984" w:type="dxa"/>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投标方案</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240" w:lineRule="exact"/>
              <w:jc w:val="center"/>
              <w:rPr>
                <w:rFonts w:hint="eastAsia" w:ascii="仿宋" w:hAnsi="仿宋" w:eastAsia="仿宋" w:cs="宋体"/>
                <w:kern w:val="0"/>
                <w:sz w:val="21"/>
                <w:szCs w:val="21"/>
              </w:rPr>
            </w:pPr>
          </w:p>
        </w:tc>
        <w:tc>
          <w:tcPr>
            <w:tcW w:w="1562" w:type="dxa"/>
            <w:vMerge w:val="continue"/>
            <w:noWrap w:val="0"/>
            <w:vAlign w:val="center"/>
          </w:tcPr>
          <w:p>
            <w:pPr>
              <w:spacing w:line="240" w:lineRule="exact"/>
              <w:rPr>
                <w:rFonts w:hint="eastAsia" w:ascii="仿宋" w:hAnsi="仿宋" w:eastAsia="仿宋" w:cs="宋体"/>
                <w:kern w:val="0"/>
                <w:sz w:val="21"/>
                <w:szCs w:val="21"/>
              </w:rPr>
            </w:pPr>
          </w:p>
        </w:tc>
        <w:tc>
          <w:tcPr>
            <w:tcW w:w="1984" w:type="dxa"/>
            <w:noWrap w:val="0"/>
            <w:vAlign w:val="center"/>
          </w:tcPr>
          <w:p>
            <w:pPr>
              <w:spacing w:line="240" w:lineRule="exact"/>
              <w:rPr>
                <w:rFonts w:hint="eastAsia" w:ascii="仿宋" w:hAnsi="仿宋" w:eastAsia="仿宋" w:cs="仿宋_GB2312"/>
                <w:sz w:val="21"/>
                <w:szCs w:val="21"/>
                <w:lang w:val="zh-CN"/>
              </w:rPr>
            </w:pPr>
            <w:r>
              <w:rPr>
                <w:rFonts w:hint="eastAsia" w:ascii="仿宋" w:hAnsi="仿宋" w:eastAsia="仿宋"/>
                <w:sz w:val="21"/>
                <w:szCs w:val="21"/>
              </w:rPr>
              <w:t>报价唯一</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只能在预算金额和最高限价内报价，</w:t>
            </w:r>
            <w:r>
              <w:rPr>
                <w:rFonts w:hint="eastAsia" w:ascii="仿宋" w:hAnsi="仿宋" w:eastAsia="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2</w:t>
            </w:r>
          </w:p>
        </w:tc>
        <w:tc>
          <w:tcPr>
            <w:tcW w:w="1562"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投标文件份数</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3</w:t>
            </w:r>
          </w:p>
        </w:tc>
        <w:tc>
          <w:tcPr>
            <w:tcW w:w="1562"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技术部分</w:t>
            </w:r>
          </w:p>
        </w:tc>
        <w:tc>
          <w:tcPr>
            <w:tcW w:w="1984"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本招标文件第二篇规定的招标内容作出响应（满足与否）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4</w:t>
            </w:r>
          </w:p>
        </w:tc>
        <w:tc>
          <w:tcPr>
            <w:tcW w:w="1562"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商务部分</w:t>
            </w:r>
          </w:p>
        </w:tc>
        <w:tc>
          <w:tcPr>
            <w:tcW w:w="1984"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本招标文件第三篇规定的招标内容作出响应（满足或者优于商务要求）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5</w:t>
            </w:r>
          </w:p>
        </w:tc>
        <w:tc>
          <w:tcPr>
            <w:tcW w:w="1562"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投标有效期</w:t>
            </w:r>
          </w:p>
        </w:tc>
        <w:tc>
          <w:tcPr>
            <w:tcW w:w="1984"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noWrap w:val="0"/>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投标有效期为投标截止日期后九十天内</w:t>
            </w:r>
          </w:p>
        </w:tc>
      </w:tr>
    </w:tbl>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（三）比较与评价。按招标文件中规定的评标方法和标准，对资格审查和符合性审查合格的投标文件进行商务和技术评分。</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同一</w:t>
      </w:r>
      <w:r>
        <w:rPr>
          <w:rFonts w:ascii="仿宋" w:hAnsi="仿宋" w:eastAsia="仿宋"/>
          <w:sz w:val="24"/>
          <w:szCs w:val="24"/>
        </w:rPr>
        <w:t>合同项</w:t>
      </w:r>
      <w:r>
        <w:rPr>
          <w:rFonts w:hint="eastAsia" w:ascii="仿宋" w:hAnsi="仿宋" w:eastAsia="仿宋"/>
          <w:sz w:val="24"/>
          <w:szCs w:val="24"/>
        </w:rPr>
        <w:t>（分包）</w:t>
      </w:r>
      <w:r>
        <w:rPr>
          <w:rFonts w:ascii="仿宋" w:hAnsi="仿宋" w:eastAsia="仿宋"/>
          <w:sz w:val="24"/>
          <w:szCs w:val="24"/>
        </w:rPr>
        <w:t>下</w:t>
      </w:r>
      <w:r>
        <w:rPr>
          <w:rFonts w:hint="eastAsia" w:ascii="仿宋" w:hAnsi="仿宋" w:eastAsia="仿宋"/>
          <w:sz w:val="24"/>
          <w:szCs w:val="24"/>
        </w:rPr>
        <w:t>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评标委员会各成员独立对每个有效投标人（通过资格审查、</w:t>
      </w:r>
      <w:r>
        <w:rPr>
          <w:rFonts w:hint="eastAsia" w:ascii="仿宋" w:hAnsi="仿宋" w:eastAsia="仿宋" w:cs="宋体"/>
          <w:kern w:val="0"/>
          <w:sz w:val="24"/>
          <w:szCs w:val="24"/>
        </w:rPr>
        <w:t>符合性审查的投标人</w:t>
      </w:r>
      <w:r>
        <w:rPr>
          <w:rFonts w:hint="eastAsia" w:ascii="仿宋" w:hAnsi="仿宋" w:eastAsia="仿宋"/>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复核后，评标委员会汇总每个投标人每项评分因素的得分。</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（四）推荐中标候选人名单。</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按评审后得分由高到低的排列顺序</w:t>
      </w:r>
      <w:r>
        <w:rPr>
          <w:rFonts w:hint="eastAsia" w:ascii="仿宋" w:hAnsi="仿宋" w:eastAsia="仿宋" w:cs="宋体"/>
          <w:kern w:val="0"/>
          <w:sz w:val="24"/>
          <w:szCs w:val="24"/>
        </w:rPr>
        <w:t>推荐综合得分排名前三的投标人为本分包（项目）中标候选人，</w:t>
      </w:r>
      <w:r>
        <w:rPr>
          <w:rFonts w:hint="eastAsia" w:ascii="仿宋" w:hAnsi="仿宋" w:eastAsia="仿宋"/>
          <w:sz w:val="24"/>
          <w:szCs w:val="24"/>
        </w:rPr>
        <w:t>排名第一的为第一中标候选人。得分相同的，按投标报价由低到高顺序排列。得分且投标报价相同的并列。</w:t>
      </w:r>
    </w:p>
    <w:p>
      <w:pPr>
        <w:pStyle w:val="4"/>
        <w:numPr>
          <w:ilvl w:val="0"/>
          <w:numId w:val="16"/>
        </w:numPr>
        <w:spacing w:line="400" w:lineRule="exact"/>
        <w:ind w:firstLine="482" w:firstLineChars="200"/>
        <w:rPr>
          <w:rFonts w:hint="eastAsia"/>
          <w:lang w:eastAsia="zh-CN"/>
        </w:rPr>
      </w:pPr>
      <w:bookmarkStart w:id="27" w:name="_Toc492721017"/>
      <w:bookmarkStart w:id="28" w:name="_Toc267320057"/>
      <w:bookmarkStart w:id="29" w:name="_Toc22266"/>
      <w:r>
        <w:rPr>
          <w:rFonts w:hint="eastAsia" w:ascii="仿宋" w:hAnsi="仿宋" w:eastAsia="仿宋"/>
          <w:b/>
          <w:sz w:val="24"/>
          <w:szCs w:val="24"/>
          <w:lang w:eastAsia="zh-CN"/>
        </w:rPr>
        <w:t>评标标准</w:t>
      </w:r>
      <w:bookmarkEnd w:id="27"/>
      <w:bookmarkEnd w:id="28"/>
      <w:bookmarkEnd w:id="29"/>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（一）评审因素</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791"/>
        <w:gridCol w:w="448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240" w:lineRule="atLeast"/>
              <w:ind w:firstLine="28"/>
              <w:jc w:val="center"/>
              <w:rPr>
                <w:rFonts w:hint="eastAsia" w:ascii="仿宋" w:hAnsi="仿宋" w:eastAsia="仿宋"/>
                <w:b/>
                <w:sz w:val="21"/>
                <w:szCs w:val="21"/>
              </w:rPr>
            </w:pPr>
            <w:r>
              <w:rPr>
                <w:rFonts w:hint="eastAsia" w:ascii="仿宋" w:hAnsi="仿宋" w:eastAsia="仿宋"/>
                <w:b/>
                <w:sz w:val="21"/>
                <w:szCs w:val="21"/>
              </w:rPr>
              <w:t>序号</w:t>
            </w:r>
          </w:p>
        </w:tc>
        <w:tc>
          <w:tcPr>
            <w:tcW w:w="1462" w:type="dxa"/>
            <w:noWrap w:val="0"/>
            <w:vAlign w:val="center"/>
          </w:tcPr>
          <w:p>
            <w:pPr>
              <w:spacing w:line="240" w:lineRule="atLeast"/>
              <w:ind w:firstLine="28"/>
              <w:jc w:val="center"/>
              <w:rPr>
                <w:rFonts w:hint="eastAsia" w:ascii="仿宋" w:hAnsi="仿宋" w:eastAsia="仿宋"/>
                <w:b/>
                <w:sz w:val="21"/>
                <w:szCs w:val="21"/>
              </w:rPr>
            </w:pPr>
            <w:r>
              <w:rPr>
                <w:rFonts w:hint="eastAsia" w:ascii="仿宋" w:hAnsi="仿宋" w:eastAsia="仿宋"/>
                <w:b/>
                <w:sz w:val="21"/>
                <w:szCs w:val="21"/>
              </w:rPr>
              <w:t>评分因素</w:t>
            </w:r>
          </w:p>
          <w:p>
            <w:pPr>
              <w:spacing w:line="240" w:lineRule="atLeast"/>
              <w:ind w:firstLine="28"/>
              <w:jc w:val="center"/>
              <w:rPr>
                <w:rFonts w:hint="eastAsia" w:ascii="仿宋" w:hAnsi="仿宋" w:eastAsia="仿宋"/>
                <w:b/>
                <w:sz w:val="21"/>
                <w:szCs w:val="21"/>
              </w:rPr>
            </w:pPr>
            <w:r>
              <w:rPr>
                <w:rFonts w:hint="eastAsia" w:ascii="仿宋" w:hAnsi="仿宋" w:eastAsia="仿宋"/>
                <w:b/>
                <w:sz w:val="21"/>
                <w:szCs w:val="21"/>
              </w:rPr>
              <w:t>及权重</w:t>
            </w:r>
          </w:p>
        </w:tc>
        <w:tc>
          <w:tcPr>
            <w:tcW w:w="791" w:type="dxa"/>
            <w:noWrap w:val="0"/>
            <w:vAlign w:val="center"/>
          </w:tcPr>
          <w:p>
            <w:pPr>
              <w:spacing w:line="240" w:lineRule="atLeast"/>
              <w:ind w:firstLine="28"/>
              <w:jc w:val="center"/>
              <w:rPr>
                <w:rFonts w:hint="eastAsia" w:ascii="仿宋" w:hAnsi="仿宋" w:eastAsia="仿宋"/>
                <w:b/>
                <w:sz w:val="21"/>
                <w:szCs w:val="21"/>
              </w:rPr>
            </w:pPr>
            <w:r>
              <w:rPr>
                <w:rFonts w:hint="eastAsia" w:ascii="仿宋" w:hAnsi="仿宋" w:eastAsia="仿宋"/>
                <w:b/>
                <w:sz w:val="21"/>
                <w:szCs w:val="21"/>
              </w:rPr>
              <w:t>分值</w:t>
            </w:r>
          </w:p>
        </w:tc>
        <w:tc>
          <w:tcPr>
            <w:tcW w:w="4484" w:type="dxa"/>
            <w:noWrap w:val="0"/>
            <w:vAlign w:val="center"/>
          </w:tcPr>
          <w:p>
            <w:pPr>
              <w:spacing w:line="240" w:lineRule="atLeast"/>
              <w:ind w:firstLine="28"/>
              <w:jc w:val="center"/>
              <w:rPr>
                <w:rFonts w:hint="eastAsia" w:ascii="仿宋" w:hAnsi="仿宋" w:eastAsia="仿宋"/>
                <w:b/>
                <w:sz w:val="21"/>
                <w:szCs w:val="21"/>
              </w:rPr>
            </w:pPr>
            <w:r>
              <w:rPr>
                <w:rFonts w:hint="eastAsia" w:ascii="仿宋" w:hAnsi="仿宋" w:eastAsia="仿宋"/>
                <w:b/>
                <w:sz w:val="21"/>
                <w:szCs w:val="21"/>
              </w:rPr>
              <w:t>评分标准</w:t>
            </w:r>
          </w:p>
        </w:tc>
        <w:tc>
          <w:tcPr>
            <w:tcW w:w="2056" w:type="dxa"/>
            <w:noWrap w:val="0"/>
            <w:vAlign w:val="center"/>
          </w:tcPr>
          <w:p>
            <w:pPr>
              <w:pStyle w:val="181"/>
              <w:spacing w:before="0" w:after="0" w:line="240" w:lineRule="atLeast"/>
              <w:rPr>
                <w:rFonts w:hint="eastAsia" w:ascii="仿宋" w:hAnsi="仿宋" w:eastAsia="仿宋"/>
                <w:sz w:val="21"/>
                <w:szCs w:val="21"/>
              </w:rPr>
            </w:pPr>
            <w:r>
              <w:rPr>
                <w:rFonts w:hint="eastAsia" w:ascii="仿宋" w:hAnsi="仿宋" w:eastAsia="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1</w:t>
            </w:r>
          </w:p>
        </w:tc>
        <w:tc>
          <w:tcPr>
            <w:tcW w:w="1462" w:type="dxa"/>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投标报价</w:t>
            </w:r>
          </w:p>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（60%）</w:t>
            </w:r>
          </w:p>
        </w:tc>
        <w:tc>
          <w:tcPr>
            <w:tcW w:w="791" w:type="dxa"/>
            <w:noWrap w:val="0"/>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60分</w:t>
            </w:r>
          </w:p>
        </w:tc>
        <w:tc>
          <w:tcPr>
            <w:tcW w:w="4484" w:type="dxa"/>
            <w:noWrap w:val="0"/>
            <w:vAlign w:val="center"/>
          </w:tcPr>
          <w:p>
            <w:pPr>
              <w:spacing w:line="240" w:lineRule="atLeast"/>
              <w:rPr>
                <w:rFonts w:ascii="仿宋" w:hAnsi="仿宋" w:eastAsia="仿宋"/>
                <w:sz w:val="21"/>
                <w:szCs w:val="21"/>
              </w:rPr>
            </w:pPr>
            <w:r>
              <w:rPr>
                <w:rFonts w:hint="eastAsia" w:ascii="仿宋" w:hAnsi="仿宋" w:eastAsia="仿宋"/>
                <w:sz w:val="21"/>
                <w:szCs w:val="21"/>
              </w:rPr>
              <w:t>按要求报价，供货价格越低越分越高，但不得扰乱市场胡乱报价。</w:t>
            </w:r>
          </w:p>
        </w:tc>
        <w:tc>
          <w:tcPr>
            <w:tcW w:w="2056" w:type="dxa"/>
            <w:noWrap w:val="0"/>
            <w:vAlign w:val="center"/>
          </w:tcPr>
          <w:p>
            <w:pPr>
              <w:spacing w:line="240" w:lineRule="atLeast"/>
              <w:ind w:left="-39" w:leftChars="-14"/>
              <w:rPr>
                <w:rFonts w:ascii="仿宋" w:hAnsi="仿宋" w:eastAsia="仿宋"/>
                <w:sz w:val="21"/>
                <w:szCs w:val="21"/>
              </w:rPr>
            </w:pPr>
            <w:r>
              <w:rPr>
                <w:rFonts w:hint="eastAsia" w:ascii="仿宋" w:hAnsi="仿宋" w:eastAsia="仿宋"/>
                <w:sz w:val="21"/>
                <w:szCs w:val="21"/>
              </w:rPr>
              <w:t>经评委评审价格最低者得60分，排序后面依次按照5分递减。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9" w:hRule="atLeast"/>
        </w:trPr>
        <w:tc>
          <w:tcPr>
            <w:tcW w:w="835" w:type="dxa"/>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2</w:t>
            </w:r>
          </w:p>
        </w:tc>
        <w:tc>
          <w:tcPr>
            <w:tcW w:w="1462" w:type="dxa"/>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技术部分</w:t>
            </w:r>
          </w:p>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（40%）</w:t>
            </w:r>
          </w:p>
        </w:tc>
        <w:tc>
          <w:tcPr>
            <w:tcW w:w="791" w:type="dxa"/>
            <w:noWrap w:val="0"/>
            <w:vAlign w:val="center"/>
          </w:tcPr>
          <w:p>
            <w:pPr>
              <w:spacing w:line="240" w:lineRule="atLeast"/>
              <w:ind w:firstLine="28"/>
              <w:jc w:val="center"/>
              <w:rPr>
                <w:rFonts w:ascii="仿宋" w:hAnsi="仿宋" w:eastAsia="仿宋"/>
                <w:sz w:val="21"/>
                <w:szCs w:val="21"/>
                <w:highlight w:val="yellow"/>
              </w:rPr>
            </w:pPr>
            <w:r>
              <w:rPr>
                <w:rFonts w:hint="eastAsia" w:ascii="仿宋" w:hAnsi="仿宋" w:eastAsia="仿宋"/>
                <w:sz w:val="21"/>
                <w:szCs w:val="21"/>
              </w:rPr>
              <w:t>40分</w:t>
            </w:r>
          </w:p>
        </w:tc>
        <w:tc>
          <w:tcPr>
            <w:tcW w:w="4484" w:type="dxa"/>
            <w:noWrap w:val="0"/>
            <w:vAlign w:val="center"/>
          </w:tcPr>
          <w:p>
            <w:pPr>
              <w:spacing w:line="240" w:lineRule="atLeast"/>
              <w:rPr>
                <w:rFonts w:hint="eastAsia"/>
              </w:rPr>
            </w:pPr>
            <w:r>
              <w:rPr>
                <w:rFonts w:hint="eastAsia" w:ascii="仿宋" w:hAnsi="仿宋" w:eastAsia="仿宋"/>
                <w:sz w:val="21"/>
                <w:szCs w:val="21"/>
              </w:rPr>
              <w:t>经营情况证明文件（由投标人自行编制，格式自定，包含但不限于：可包含但不限于:实体店、销售流水、超市食品安全、营业人员、供应单位等）。</w:t>
            </w:r>
          </w:p>
          <w:p>
            <w:pPr>
              <w:pStyle w:val="2"/>
              <w:rPr>
                <w:rFonts w:hint="eastAsia"/>
              </w:rPr>
            </w:pPr>
          </w:p>
        </w:tc>
        <w:tc>
          <w:tcPr>
            <w:tcW w:w="2056" w:type="dxa"/>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由评委综合比较后评定：</w:t>
            </w:r>
          </w:p>
          <w:p>
            <w:pPr>
              <w:spacing w:line="240" w:lineRule="atLeast"/>
              <w:rPr>
                <w:rFonts w:hint="eastAsia" w:ascii="仿宋" w:hAnsi="仿宋" w:eastAsia="仿宋"/>
                <w:sz w:val="21"/>
                <w:szCs w:val="21"/>
              </w:rPr>
            </w:pPr>
            <w:r>
              <w:rPr>
                <w:rFonts w:hint="eastAsia" w:ascii="仿宋" w:hAnsi="仿宋" w:eastAsia="仿宋"/>
                <w:sz w:val="21"/>
                <w:szCs w:val="21"/>
              </w:rPr>
              <w:t>优秀得24—40分；良好得17—23分；一般得8—16分；较差得1—7分；未提供或提供后评定为不合格的得0分。</w:t>
            </w:r>
          </w:p>
        </w:tc>
      </w:tr>
    </w:tbl>
    <w:p>
      <w:pPr>
        <w:snapToGrid w:val="0"/>
        <w:spacing w:line="400" w:lineRule="exact"/>
        <w:ind w:firstLine="465"/>
        <w:rPr>
          <w:rFonts w:hint="eastAsia" w:ascii="仿宋" w:hAnsi="仿宋" w:eastAsia="仿宋"/>
          <w:sz w:val="24"/>
          <w:szCs w:val="24"/>
        </w:rPr>
      </w:pPr>
      <w:r>
        <w:rPr>
          <w:rFonts w:hint="eastAsia" w:ascii="仿宋" w:hAnsi="仿宋" w:eastAsia="仿宋"/>
          <w:b/>
          <w:sz w:val="24"/>
          <w:szCs w:val="24"/>
        </w:rPr>
        <w:t>说明：</w:t>
      </w:r>
      <w:r>
        <w:rPr>
          <w:rFonts w:hint="eastAsia" w:ascii="仿宋" w:hAnsi="仿宋" w:eastAsia="仿宋"/>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4"/>
        <w:spacing w:line="400" w:lineRule="exact"/>
        <w:ind w:firstLine="482" w:firstLineChars="200"/>
        <w:rPr>
          <w:rFonts w:hint="eastAsia" w:ascii="仿宋" w:hAnsi="仿宋" w:eastAsia="仿宋"/>
          <w:b/>
          <w:sz w:val="24"/>
          <w:szCs w:val="24"/>
        </w:rPr>
      </w:pPr>
      <w:bookmarkStart w:id="30" w:name="_Toc492721018"/>
      <w:bookmarkStart w:id="31" w:name="_Toc5708"/>
      <w:r>
        <w:rPr>
          <w:rFonts w:hint="eastAsia" w:ascii="仿宋" w:hAnsi="仿宋" w:eastAsia="仿宋"/>
          <w:b/>
          <w:sz w:val="24"/>
          <w:szCs w:val="24"/>
        </w:rPr>
        <w:t>四、无效投标条款</w:t>
      </w:r>
      <w:bookmarkEnd w:id="30"/>
      <w:bookmarkEnd w:id="31"/>
    </w:p>
    <w:p>
      <w:pPr>
        <w:snapToGrid w:val="0"/>
        <w:spacing w:line="400" w:lineRule="exact"/>
        <w:ind w:firstLine="465"/>
        <w:rPr>
          <w:rFonts w:hint="eastAsia" w:ascii="仿宋" w:hAnsi="仿宋" w:eastAsia="仿宋"/>
          <w:sz w:val="24"/>
          <w:szCs w:val="24"/>
        </w:rPr>
      </w:pPr>
      <w:bookmarkStart w:id="32" w:name="_Toc1137"/>
      <w:bookmarkStart w:id="33" w:name="_Toc492721019"/>
      <w:r>
        <w:rPr>
          <w:rFonts w:hint="eastAsia" w:ascii="仿宋" w:hAnsi="仿宋" w:eastAsia="仿宋"/>
          <w:sz w:val="24"/>
          <w:szCs w:val="24"/>
        </w:rPr>
        <w:t>投标人或其投标文件出现下列情况之一者，应为无效投标：</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（一）未按照招标文件的规定提交投标保证金的；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（二）投标文件未按招标文件要求签署、盖章的；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（三）不具备招标文件中规定的资格要求的；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（四）报价超过招标文件中规定的预算金额或者最高限价的；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（五）投标文件含有采购人不能接受的附加条件的；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（六）投标人串通投标的；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（七）投标人组成联合体投标的；</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（八）法律、法规和招标文件规定的其他无效情形。</w:t>
      </w:r>
    </w:p>
    <w:p>
      <w:pPr>
        <w:snapToGrid w:val="0"/>
        <w:spacing w:line="400" w:lineRule="exact"/>
        <w:ind w:firstLine="465"/>
        <w:rPr>
          <w:rFonts w:hint="eastAsia" w:ascii="仿宋" w:hAnsi="仿宋" w:eastAsia="仿宋"/>
          <w:b/>
          <w:sz w:val="24"/>
          <w:szCs w:val="24"/>
        </w:rPr>
      </w:pPr>
      <w:r>
        <w:rPr>
          <w:rFonts w:hint="eastAsia" w:ascii="仿宋" w:hAnsi="仿宋" w:eastAsia="仿宋"/>
          <w:b/>
          <w:sz w:val="24"/>
          <w:szCs w:val="24"/>
        </w:rPr>
        <w:t>五、废标条款</w:t>
      </w:r>
      <w:bookmarkEnd w:id="32"/>
      <w:bookmarkEnd w:id="33"/>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评标委员会评审时出现以下情况之一的，应予废标：</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（一）符合专业条件的投标人或者对招标文件作实质响应的投标人不足三家的；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（二）投标人的报价均超过了采购预算，采购人不能支付的；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（三）出现影响采购公正的违法、违规行为的；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（四）因重大变故，采购任务取消的。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废标后，除采购任务取消情形外，应当重新组织采购。</w:t>
      </w:r>
    </w:p>
    <w:p>
      <w:pPr>
        <w:pStyle w:val="3"/>
        <w:spacing w:before="0" w:beforeLines="0" w:after="0" w:afterLines="0" w:line="360" w:lineRule="auto"/>
        <w:rPr>
          <w:rFonts w:hint="eastAsia" w:ascii="仿宋" w:hAnsi="仿宋" w:eastAsia="仿宋"/>
          <w:b/>
        </w:rPr>
      </w:pPr>
      <w:r>
        <w:rPr>
          <w:rFonts w:ascii="仿宋" w:hAnsi="仿宋" w:eastAsia="仿宋"/>
          <w:sz w:val="28"/>
        </w:rPr>
        <w:br w:type="page"/>
      </w:r>
      <w:bookmarkStart w:id="34" w:name="_Toc14305"/>
      <w:r>
        <w:rPr>
          <w:rFonts w:hint="eastAsia" w:ascii="仿宋" w:hAnsi="仿宋" w:eastAsia="仿宋"/>
          <w:b/>
        </w:rPr>
        <w:t>第五篇  投标人须知</w:t>
      </w:r>
      <w:bookmarkEnd w:id="34"/>
    </w:p>
    <w:p>
      <w:pPr>
        <w:pStyle w:val="4"/>
        <w:spacing w:line="400" w:lineRule="exact"/>
        <w:ind w:firstLine="482" w:firstLineChars="200"/>
        <w:rPr>
          <w:rFonts w:hint="eastAsia" w:ascii="仿宋" w:hAnsi="仿宋" w:eastAsia="仿宋"/>
          <w:b/>
          <w:sz w:val="24"/>
        </w:rPr>
      </w:pPr>
      <w:bookmarkStart w:id="35" w:name="_Toc23908"/>
      <w:r>
        <w:rPr>
          <w:rFonts w:hint="eastAsia" w:ascii="仿宋" w:hAnsi="仿宋" w:eastAsia="仿宋"/>
          <w:b/>
          <w:sz w:val="24"/>
          <w:lang w:eastAsia="zh-CN"/>
        </w:rPr>
        <w:t>一</w:t>
      </w:r>
      <w:r>
        <w:rPr>
          <w:rFonts w:hint="eastAsia" w:ascii="仿宋" w:hAnsi="仿宋" w:eastAsia="仿宋"/>
          <w:b/>
          <w:sz w:val="24"/>
        </w:rPr>
        <w:t>、投标人</w:t>
      </w:r>
      <w:bookmarkEnd w:id="35"/>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（一）投标人</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投标人是指响应招标、参加投标竞争的法人、其他组织或者自然人。</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（二）合格投标人条件</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合格投标人应完全符合招标文件第一篇中规定的投标人资格条件，并对招标文件作出实质性响应。</w:t>
      </w:r>
    </w:p>
    <w:p>
      <w:pPr>
        <w:snapToGrid w:val="0"/>
        <w:spacing w:line="400" w:lineRule="exact"/>
        <w:ind w:firstLine="480" w:firstLineChars="200"/>
        <w:rPr>
          <w:rFonts w:hint="eastAsia" w:ascii="仿宋" w:hAnsi="仿宋" w:eastAsia="仿宋"/>
          <w:sz w:val="24"/>
          <w:szCs w:val="28"/>
        </w:rPr>
      </w:pPr>
      <w:r>
        <w:rPr>
          <w:rFonts w:hint="eastAsia" w:ascii="仿宋" w:hAnsi="仿宋" w:eastAsia="仿宋"/>
          <w:sz w:val="24"/>
          <w:szCs w:val="28"/>
        </w:rPr>
        <w:t>（三）投标人的风险</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（四）法律责任</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投标人违反《中华人民共和国政府采购法》、《中华人民共和国政府采购实施条例》等相关规定，将按规定追究投标人法律责任。</w:t>
      </w:r>
    </w:p>
    <w:p>
      <w:pPr>
        <w:pStyle w:val="4"/>
        <w:spacing w:line="400" w:lineRule="exact"/>
        <w:ind w:firstLine="482" w:firstLineChars="200"/>
        <w:rPr>
          <w:rFonts w:hint="eastAsia" w:ascii="仿宋" w:hAnsi="仿宋" w:eastAsia="仿宋"/>
          <w:b/>
          <w:sz w:val="24"/>
        </w:rPr>
      </w:pPr>
      <w:bookmarkStart w:id="36" w:name="_Toc16664"/>
      <w:r>
        <w:rPr>
          <w:rFonts w:hint="eastAsia" w:ascii="仿宋" w:hAnsi="仿宋" w:eastAsia="仿宋"/>
          <w:b/>
          <w:sz w:val="24"/>
          <w:lang w:eastAsia="zh-CN"/>
        </w:rPr>
        <w:t>二</w:t>
      </w:r>
      <w:r>
        <w:rPr>
          <w:rFonts w:hint="eastAsia" w:ascii="仿宋" w:hAnsi="仿宋" w:eastAsia="仿宋"/>
          <w:b/>
          <w:sz w:val="24"/>
        </w:rPr>
        <w:t>、招标文件</w:t>
      </w:r>
      <w:bookmarkEnd w:id="36"/>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rPr>
          <w:rFonts w:hint="eastAsia" w:ascii="仿宋" w:hAnsi="仿宋" w:eastAsia="仿宋"/>
          <w:sz w:val="24"/>
        </w:rPr>
      </w:pPr>
      <w:r>
        <w:rPr>
          <w:rFonts w:hint="eastAsia" w:ascii="仿宋" w:hAnsi="仿宋" w:eastAsia="仿宋"/>
          <w:sz w:val="24"/>
          <w:szCs w:val="28"/>
        </w:rPr>
        <w:t>（二）采购人或</w:t>
      </w:r>
      <w:r>
        <w:rPr>
          <w:rFonts w:hint="eastAsia" w:ascii="仿宋" w:hAnsi="仿宋" w:eastAsia="仿宋"/>
          <w:sz w:val="24"/>
        </w:rPr>
        <w:t>采购代理机构对招标文件所作的一切有效的书面通知、修改及补充，都是招标文件不可分割的部分。</w:t>
      </w:r>
    </w:p>
    <w:p>
      <w:pPr>
        <w:snapToGrid w:val="0"/>
        <w:spacing w:line="400" w:lineRule="exact"/>
        <w:ind w:firstLine="480"/>
        <w:rPr>
          <w:rFonts w:hint="eastAsia" w:ascii="仿宋" w:hAnsi="仿宋" w:eastAsia="仿宋"/>
          <w:sz w:val="24"/>
        </w:rPr>
      </w:pPr>
      <w:r>
        <w:rPr>
          <w:rFonts w:hint="eastAsia" w:ascii="仿宋" w:hAnsi="仿宋" w:eastAsia="仿宋"/>
          <w:sz w:val="24"/>
        </w:rPr>
        <w:t>（三）</w:t>
      </w:r>
      <w:r>
        <w:rPr>
          <w:rFonts w:hint="eastAsia" w:ascii="仿宋" w:hAnsi="仿宋" w:eastAsia="仿宋"/>
          <w:sz w:val="24"/>
          <w:szCs w:val="24"/>
        </w:rPr>
        <w:t>本项目的招标文件、补遗文件（如果有）一律在重庆市万州高级技工学校网站上发布，请各投标人注意下载；无论投标人下载，均视同投标人已知晓本项目招标文件、补遗文件的内容。</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（四）</w:t>
      </w:r>
      <w:r>
        <w:rPr>
          <w:rFonts w:hint="eastAsia" w:ascii="仿宋" w:hAnsi="仿宋" w:eastAsia="仿宋"/>
          <w:sz w:val="24"/>
          <w:szCs w:val="28"/>
        </w:rPr>
        <w:t>采购人或</w:t>
      </w:r>
      <w:r>
        <w:rPr>
          <w:rFonts w:hint="eastAsia" w:ascii="仿宋" w:hAnsi="仿宋" w:eastAsia="仿宋"/>
          <w:sz w:val="24"/>
        </w:rPr>
        <w:t>采购代理机构对已发出的招标文件需要进行澄清或修改的，应以公告形式通知所有招标文件收受人。该澄清或者修改的内容为招标文件的组成部分。</w:t>
      </w:r>
    </w:p>
    <w:p>
      <w:pPr>
        <w:pStyle w:val="4"/>
        <w:spacing w:line="400" w:lineRule="exact"/>
        <w:ind w:firstLine="482" w:firstLineChars="200"/>
        <w:rPr>
          <w:rFonts w:hint="eastAsia" w:ascii="仿宋" w:hAnsi="仿宋" w:eastAsia="仿宋"/>
          <w:b/>
          <w:sz w:val="24"/>
        </w:rPr>
      </w:pPr>
      <w:bookmarkStart w:id="37" w:name="_Toc7732"/>
      <w:r>
        <w:rPr>
          <w:rFonts w:hint="eastAsia" w:ascii="仿宋" w:hAnsi="仿宋" w:eastAsia="仿宋"/>
          <w:b/>
          <w:sz w:val="24"/>
          <w:lang w:eastAsia="zh-CN"/>
        </w:rPr>
        <w:t>三</w:t>
      </w:r>
      <w:r>
        <w:rPr>
          <w:rFonts w:hint="eastAsia" w:ascii="仿宋" w:hAnsi="仿宋" w:eastAsia="仿宋"/>
          <w:b/>
          <w:sz w:val="24"/>
        </w:rPr>
        <w:t>、投标文件</w:t>
      </w:r>
      <w:bookmarkEnd w:id="37"/>
    </w:p>
    <w:p>
      <w:pPr>
        <w:spacing w:line="400" w:lineRule="exact"/>
        <w:ind w:firstLine="480" w:firstLineChars="200"/>
        <w:rPr>
          <w:rFonts w:hint="eastAsia" w:ascii="仿宋" w:hAnsi="仿宋" w:eastAsia="仿宋"/>
          <w:sz w:val="24"/>
        </w:rPr>
      </w:pPr>
      <w:r>
        <w:rPr>
          <w:rFonts w:hint="eastAsia" w:ascii="仿宋" w:hAnsi="仿宋" w:eastAsia="仿宋"/>
          <w:sz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hint="eastAsia" w:ascii="仿宋" w:hAnsi="仿宋" w:eastAsia="仿宋"/>
          <w:sz w:val="24"/>
        </w:rPr>
      </w:pPr>
      <w:r>
        <w:rPr>
          <w:rFonts w:hint="eastAsia" w:ascii="仿宋" w:hAnsi="仿宋" w:eastAsia="仿宋"/>
          <w:sz w:val="24"/>
        </w:rPr>
        <w:t>（一）投标文件组成</w:t>
      </w:r>
    </w:p>
    <w:p>
      <w:pPr>
        <w:spacing w:line="400" w:lineRule="exact"/>
        <w:ind w:firstLine="480" w:firstLineChars="200"/>
        <w:rPr>
          <w:rFonts w:hint="eastAsia" w:ascii="仿宋" w:hAnsi="仿宋" w:eastAsia="仿宋"/>
          <w:sz w:val="24"/>
        </w:rPr>
      </w:pPr>
      <w:r>
        <w:rPr>
          <w:rFonts w:hint="eastAsia" w:ascii="仿宋" w:hAnsi="仿宋" w:eastAsia="仿宋"/>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hint="eastAsia" w:ascii="仿宋" w:hAnsi="仿宋" w:eastAsia="仿宋"/>
          <w:sz w:val="24"/>
        </w:rPr>
      </w:pPr>
      <w:r>
        <w:rPr>
          <w:rFonts w:hint="eastAsia" w:ascii="仿宋" w:hAnsi="仿宋" w:eastAsia="仿宋"/>
          <w:sz w:val="24"/>
        </w:rPr>
        <w:t>（二）投标有效期</w:t>
      </w:r>
    </w:p>
    <w:p>
      <w:pPr>
        <w:spacing w:line="400" w:lineRule="exact"/>
        <w:ind w:firstLine="480" w:firstLineChars="200"/>
        <w:rPr>
          <w:rFonts w:hint="eastAsia" w:ascii="仿宋" w:hAnsi="仿宋" w:eastAsia="仿宋"/>
          <w:sz w:val="24"/>
        </w:rPr>
      </w:pPr>
      <w:r>
        <w:rPr>
          <w:rFonts w:hint="eastAsia" w:ascii="仿宋" w:hAnsi="仿宋" w:eastAsia="仿宋"/>
          <w:sz w:val="24"/>
        </w:rPr>
        <w:t>投标有效期为投标截止日期后九十天内。</w:t>
      </w:r>
    </w:p>
    <w:p>
      <w:pPr>
        <w:spacing w:line="400" w:lineRule="exact"/>
        <w:ind w:firstLine="480" w:firstLineChars="200"/>
        <w:rPr>
          <w:rFonts w:hint="eastAsia" w:ascii="仿宋" w:hAnsi="仿宋" w:eastAsia="仿宋"/>
          <w:sz w:val="24"/>
        </w:rPr>
      </w:pPr>
      <w:r>
        <w:rPr>
          <w:rFonts w:hint="eastAsia" w:ascii="仿宋" w:hAnsi="仿宋" w:eastAsia="仿宋"/>
          <w:sz w:val="24"/>
        </w:rPr>
        <w:t>（三）投标保证金</w:t>
      </w:r>
    </w:p>
    <w:p>
      <w:pPr>
        <w:tabs>
          <w:tab w:val="left" w:pos="0"/>
        </w:tabs>
        <w:snapToGrid w:val="0"/>
        <w:spacing w:line="400" w:lineRule="exact"/>
        <w:ind w:firstLine="480" w:firstLineChars="200"/>
        <w:rPr>
          <w:rFonts w:hint="eastAsia" w:ascii="仿宋" w:hAnsi="仿宋" w:eastAsia="仿宋"/>
          <w:sz w:val="24"/>
        </w:rPr>
      </w:pPr>
      <w:r>
        <w:rPr>
          <w:rFonts w:hint="eastAsia" w:ascii="仿宋" w:hAnsi="仿宋" w:eastAsia="仿宋"/>
          <w:sz w:val="24"/>
        </w:rPr>
        <w:t>1.投标人应在投标截止时间前，按招标文件第一篇规定缴纳投标保证金。</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2.投标保证金为投标的有效约束条件。</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3.投标保证金的有效期限在投标有效期过后三十天内继续有效。</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4.投标保证金币种应与投标报价币种相同。</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5.采购代理机构在《中标通知书》发出后五个工作日内退还未中标人的投标保证金；在采购合同签订后五个工作日退还中标人的投标保证金。</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6.投标人有下列情形之一的，采购人可以不退还投标保证金</w:t>
      </w:r>
      <w:r>
        <w:rPr>
          <w:rFonts w:hint="eastAsia" w:ascii="仿宋" w:hAnsi="仿宋" w:eastAsia="仿宋" w:cs="仿宋"/>
          <w:sz w:val="24"/>
        </w:rPr>
        <w:t>：</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6.1投标人在投标有效期内撤回投标文件的；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6.2投标人未按规定提交履约保证金的；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6.3投标人在投标过程中弄虚作假，提供虚假材料的；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6.4中标人无正当理由不与采购人签订合同的；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6.5中标人将中标项目转让给他人或者在投标文件中未说明且未经采购人同意，将中标项目分包给他人的；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6.6中标人拒绝履行合同义务的；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6.7其他严重扰乱招投标程序的。</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bCs/>
          <w:sz w:val="24"/>
        </w:rPr>
        <w:t>（四）投标文件的份数和签署</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1.投标文件一式二份，其中正本一份，副本一份，每套纸质投标文件须在封面清楚地标明“正本”、“副本”，副本应为正本的完整复印件，副本与正本不一致时以正本为准。</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2.在投标文件正本中，招标文件第七篇投标文件格式中规定签字、盖章的地方必须按其规定签字、盖章。</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3.若投标人对投标文件的错处作必要修改，则应在修改处加盖投标人公章或由</w:t>
      </w:r>
      <w:r>
        <w:rPr>
          <w:rFonts w:hint="eastAsia" w:ascii="仿宋" w:hAnsi="仿宋" w:eastAsia="仿宋"/>
          <w:sz w:val="24"/>
          <w:szCs w:val="28"/>
        </w:rPr>
        <w:t>法定代表人</w:t>
      </w:r>
      <w:r>
        <w:rPr>
          <w:rFonts w:hint="eastAsia" w:ascii="仿宋" w:hAnsi="仿宋" w:eastAsia="仿宋"/>
          <w:sz w:val="24"/>
        </w:rPr>
        <w:t>或</w:t>
      </w:r>
      <w:r>
        <w:rPr>
          <w:rFonts w:hint="eastAsia" w:ascii="仿宋" w:hAnsi="仿宋" w:eastAsia="仿宋"/>
          <w:sz w:val="24"/>
          <w:szCs w:val="28"/>
        </w:rPr>
        <w:t>法定代表人</w:t>
      </w:r>
      <w:r>
        <w:rPr>
          <w:rFonts w:hint="eastAsia" w:ascii="仿宋" w:hAnsi="仿宋" w:eastAsia="仿宋"/>
          <w:sz w:val="24"/>
        </w:rPr>
        <w:t>授权代表签字确认。</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sz w:val="24"/>
        </w:rPr>
        <w:t>4.电报、电话、传真形式的投标文件概不接受。</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bCs/>
          <w:sz w:val="24"/>
        </w:rPr>
        <w:t>（五）投标报价</w:t>
      </w:r>
    </w:p>
    <w:p>
      <w:pPr>
        <w:snapToGrid w:val="0"/>
        <w:spacing w:line="400" w:lineRule="exact"/>
        <w:ind w:firstLine="470" w:firstLineChars="196"/>
        <w:jc w:val="left"/>
        <w:rPr>
          <w:rFonts w:hint="eastAsia" w:ascii="仿宋" w:hAnsi="仿宋" w:eastAsia="仿宋"/>
          <w:sz w:val="24"/>
        </w:rPr>
      </w:pPr>
      <w:r>
        <w:rPr>
          <w:rFonts w:hint="eastAsia" w:ascii="仿宋" w:hAnsi="仿宋" w:eastAsia="仿宋"/>
          <w:bCs/>
          <w:sz w:val="24"/>
        </w:rPr>
        <w:t>1.投标人应严格按照“投标文件格式”中“开标一览表”和“报价明细表”</w:t>
      </w:r>
      <w:r>
        <w:rPr>
          <w:rFonts w:hint="eastAsia" w:ascii="仿宋" w:hAnsi="仿宋" w:eastAsia="仿宋"/>
          <w:sz w:val="24"/>
        </w:rPr>
        <w:t>的格式填写报价。</w:t>
      </w:r>
    </w:p>
    <w:p>
      <w:pPr>
        <w:snapToGrid w:val="0"/>
        <w:spacing w:line="400" w:lineRule="exact"/>
        <w:ind w:left="3" w:leftChars="1" w:firstLine="480" w:firstLineChars="200"/>
        <w:rPr>
          <w:rFonts w:hint="eastAsia" w:ascii="仿宋" w:hAnsi="仿宋" w:eastAsia="仿宋"/>
          <w:sz w:val="24"/>
        </w:rPr>
      </w:pPr>
      <w:r>
        <w:rPr>
          <w:rFonts w:hint="eastAsia" w:ascii="仿宋" w:hAnsi="仿宋" w:eastAsia="仿宋"/>
          <w:sz w:val="24"/>
        </w:rPr>
        <w:t>2.投标人的报价为一次性报价，即在投标有效期内投标价格固定不变。</w:t>
      </w:r>
    </w:p>
    <w:p>
      <w:pPr>
        <w:snapToGrid w:val="0"/>
        <w:spacing w:line="400" w:lineRule="exact"/>
        <w:ind w:left="3" w:leftChars="1" w:firstLine="480" w:firstLineChars="200"/>
        <w:rPr>
          <w:rFonts w:hint="eastAsia" w:ascii="仿宋" w:hAnsi="仿宋" w:eastAsia="仿宋"/>
          <w:sz w:val="24"/>
        </w:rPr>
      </w:pPr>
      <w:r>
        <w:rPr>
          <w:rFonts w:hint="eastAsia" w:ascii="仿宋" w:hAnsi="仿宋" w:eastAsia="仿宋"/>
          <w:sz w:val="24"/>
        </w:rPr>
        <w:t>3.本项目只接受一个投标报价，有选择的或有条件的报价将不予接受。</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（六）修正错误</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若投标文件出现计算或表达上的错误，修正错误的原则如下：</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2.大写金额和小写金额不一致的，以大写金额为准；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3.单价金额小数点或者百分比有明显错位的，以开标一览表的总价为准，并修改单价；</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4.总价金额与按单价汇总金额不一致的，以单价金额计算结果为准。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（七）投标文件的递交</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1.投标文件的密封与标记</w:t>
      </w:r>
    </w:p>
    <w:p>
      <w:pPr>
        <w:pStyle w:val="30"/>
        <w:spacing w:line="400" w:lineRule="exact"/>
        <w:ind w:firstLine="480" w:firstLineChars="200"/>
        <w:rPr>
          <w:rFonts w:ascii="仿宋" w:hAnsi="仿宋" w:eastAsia="仿宋"/>
          <w:sz w:val="24"/>
        </w:rPr>
      </w:pPr>
      <w:r>
        <w:rPr>
          <w:rFonts w:hint="eastAsia" w:ascii="仿宋" w:hAnsi="仿宋" w:eastAsia="仿宋"/>
          <w:sz w:val="24"/>
        </w:rPr>
        <w:t>投标文件的正本、副本均应分别密封送达投标地点，应在封套上注明项目名称、投标人名称，还应在封套上注明“正本”、“副本”字样。</w:t>
      </w:r>
      <w:bookmarkStart w:id="38" w:name="OLE_LINK3"/>
      <w:r>
        <w:rPr>
          <w:rFonts w:hint="eastAsia" w:ascii="仿宋" w:hAnsi="仿宋" w:eastAsia="仿宋"/>
          <w:sz w:val="24"/>
        </w:rPr>
        <w:t>封套的封口处应加盖投标人公章或由法定代表人授权代表签字。</w:t>
      </w:r>
      <w:bookmarkEnd w:id="38"/>
      <w:r>
        <w:rPr>
          <w:rFonts w:hint="eastAsia" w:ascii="仿宋" w:hAnsi="仿宋" w:eastAsia="仿宋"/>
          <w:sz w:val="24"/>
        </w:rPr>
        <w:t>未按上述要求密封、标记的，采购人、采购代理机构应当拒收。</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2.如果投标文件通过邮寄递交，投标人应将投标文件用内、外两层封套密封。</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3.如果未按上述规定进行密封和标记，采购代理机构对投标文件误投、丢失或提前拆封不负责任。</w:t>
      </w:r>
    </w:p>
    <w:p>
      <w:pPr>
        <w:pStyle w:val="4"/>
        <w:spacing w:line="400" w:lineRule="exact"/>
        <w:ind w:firstLine="482" w:firstLineChars="200"/>
        <w:rPr>
          <w:rFonts w:hint="eastAsia" w:ascii="仿宋" w:hAnsi="仿宋" w:eastAsia="仿宋"/>
          <w:b/>
          <w:sz w:val="24"/>
        </w:rPr>
      </w:pPr>
      <w:bookmarkStart w:id="39" w:name="_Toc8033"/>
      <w:r>
        <w:rPr>
          <w:rFonts w:hint="eastAsia" w:ascii="仿宋" w:hAnsi="仿宋" w:eastAsia="仿宋"/>
          <w:b/>
          <w:sz w:val="24"/>
          <w:lang w:eastAsia="zh-CN"/>
        </w:rPr>
        <w:t>四</w:t>
      </w:r>
      <w:r>
        <w:rPr>
          <w:rFonts w:hint="eastAsia" w:ascii="仿宋" w:hAnsi="仿宋" w:eastAsia="仿宋"/>
          <w:b/>
          <w:sz w:val="24"/>
        </w:rPr>
        <w:t>、开标</w:t>
      </w:r>
      <w:bookmarkEnd w:id="39"/>
    </w:p>
    <w:p>
      <w:pPr>
        <w:spacing w:line="400" w:lineRule="exact"/>
        <w:ind w:firstLine="480" w:firstLineChars="200"/>
        <w:rPr>
          <w:rFonts w:hint="eastAsia" w:ascii="仿宋" w:hAnsi="仿宋" w:eastAsia="仿宋"/>
          <w:sz w:val="24"/>
        </w:rPr>
      </w:pPr>
      <w:r>
        <w:rPr>
          <w:rFonts w:hint="eastAsia" w:ascii="仿宋" w:hAnsi="仿宋" w:eastAsia="仿宋"/>
          <w:sz w:val="24"/>
        </w:rPr>
        <w:t>（一）开标应当在招标文件中“投标邀请书”确定的时间和地点公开进行。</w:t>
      </w:r>
    </w:p>
    <w:p>
      <w:pPr>
        <w:spacing w:line="400" w:lineRule="exact"/>
        <w:ind w:firstLine="480" w:firstLineChars="200"/>
        <w:rPr>
          <w:rFonts w:hint="eastAsia" w:ascii="仿宋" w:hAnsi="仿宋" w:eastAsia="仿宋"/>
          <w:sz w:val="24"/>
        </w:rPr>
      </w:pPr>
      <w:r>
        <w:rPr>
          <w:rFonts w:hint="eastAsia" w:ascii="仿宋" w:hAnsi="仿宋" w:eastAsia="仿宋"/>
          <w:sz w:val="24"/>
        </w:rPr>
        <w:t>（二）采购代理机构可视采购具体情况，延长投标截止时间和开标时间，但至少在招标文件要求提交投标文件的截止时间三日前，将变更时间以书面或公告的形式通知所有潜在投标人。</w:t>
      </w:r>
    </w:p>
    <w:p>
      <w:pPr>
        <w:spacing w:line="400" w:lineRule="exact"/>
        <w:ind w:firstLine="480" w:firstLineChars="200"/>
        <w:rPr>
          <w:rFonts w:hint="eastAsia" w:ascii="仿宋" w:hAnsi="仿宋" w:eastAsia="仿宋"/>
          <w:sz w:val="24"/>
        </w:rPr>
      </w:pPr>
      <w:r>
        <w:rPr>
          <w:rFonts w:hint="eastAsia" w:ascii="仿宋" w:hAnsi="仿宋" w:eastAsia="仿宋"/>
          <w:sz w:val="24"/>
        </w:rPr>
        <w:t>（三）开标由采购人或采购代理机构主持，邀请投标人和有关监督部门代表参加,有关监督部门可视情况派员现场监督。</w:t>
      </w:r>
    </w:p>
    <w:p>
      <w:pPr>
        <w:spacing w:line="400" w:lineRule="exact"/>
        <w:ind w:firstLine="480" w:firstLineChars="200"/>
        <w:rPr>
          <w:rFonts w:hint="eastAsia" w:ascii="仿宋" w:hAnsi="仿宋" w:eastAsia="仿宋"/>
          <w:sz w:val="24"/>
        </w:rPr>
      </w:pPr>
      <w:r>
        <w:rPr>
          <w:rFonts w:hint="eastAsia" w:ascii="仿宋" w:hAnsi="仿宋" w:eastAsia="仿宋"/>
          <w:sz w:val="24"/>
        </w:rPr>
        <w:t>（四）</w:t>
      </w:r>
      <w:r>
        <w:rPr>
          <w:rFonts w:hint="eastAsia" w:ascii="仿宋" w:hAnsi="仿宋" w:eastAsia="仿宋" w:cs="仿宋"/>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400" w:lineRule="exact"/>
        <w:ind w:firstLine="480" w:firstLineChars="200"/>
        <w:rPr>
          <w:rFonts w:hint="eastAsia" w:ascii="仿宋" w:hAnsi="仿宋" w:eastAsia="仿宋"/>
          <w:sz w:val="24"/>
        </w:rPr>
      </w:pPr>
      <w:r>
        <w:rPr>
          <w:rFonts w:hint="eastAsia" w:ascii="仿宋" w:hAnsi="仿宋" w:eastAsia="仿宋"/>
          <w:sz w:val="24"/>
        </w:rPr>
        <w:t>（五）未宣读的投标价格、价格折扣和招标文件允许提供的备选投标方案等实质性内容等，评标时不予承认。</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（六）开标过程应由采购人或代理机构指定专人负责记录，并存档备查。</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（七）投标人未参加开标的，视同认可开标结果。</w:t>
      </w:r>
    </w:p>
    <w:p>
      <w:pPr>
        <w:pStyle w:val="4"/>
        <w:spacing w:line="400" w:lineRule="exact"/>
        <w:ind w:firstLine="482" w:firstLineChars="200"/>
        <w:rPr>
          <w:rFonts w:hint="eastAsia" w:ascii="仿宋" w:hAnsi="仿宋" w:eastAsia="仿宋"/>
          <w:b/>
          <w:sz w:val="24"/>
        </w:rPr>
      </w:pPr>
      <w:bookmarkStart w:id="40" w:name="_Toc32459"/>
      <w:r>
        <w:rPr>
          <w:rFonts w:hint="eastAsia" w:ascii="仿宋" w:hAnsi="仿宋" w:eastAsia="仿宋"/>
          <w:b/>
          <w:sz w:val="24"/>
          <w:lang w:eastAsia="zh-CN"/>
        </w:rPr>
        <w:t>五</w:t>
      </w:r>
      <w:r>
        <w:rPr>
          <w:rFonts w:hint="eastAsia" w:ascii="仿宋" w:hAnsi="仿宋" w:eastAsia="仿宋"/>
          <w:b/>
          <w:sz w:val="24"/>
        </w:rPr>
        <w:t>、评标</w:t>
      </w:r>
      <w:bookmarkEnd w:id="40"/>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见第四篇“评标”内容。</w:t>
      </w:r>
    </w:p>
    <w:p>
      <w:pPr>
        <w:pStyle w:val="4"/>
        <w:spacing w:line="400" w:lineRule="exact"/>
        <w:ind w:firstLine="482" w:firstLineChars="200"/>
        <w:rPr>
          <w:rFonts w:hint="eastAsia" w:ascii="仿宋" w:hAnsi="仿宋" w:eastAsia="仿宋"/>
          <w:b/>
          <w:sz w:val="24"/>
        </w:rPr>
      </w:pPr>
      <w:bookmarkStart w:id="41" w:name="_Toc29295"/>
      <w:r>
        <w:rPr>
          <w:rFonts w:hint="eastAsia" w:ascii="仿宋" w:hAnsi="仿宋" w:eastAsia="仿宋"/>
          <w:b/>
          <w:sz w:val="24"/>
          <w:lang w:eastAsia="zh-CN"/>
        </w:rPr>
        <w:t>六</w:t>
      </w:r>
      <w:r>
        <w:rPr>
          <w:rFonts w:hint="eastAsia" w:ascii="仿宋" w:hAnsi="仿宋" w:eastAsia="仿宋"/>
          <w:b/>
          <w:sz w:val="24"/>
        </w:rPr>
        <w:t>、定标</w:t>
      </w:r>
      <w:bookmarkEnd w:id="41"/>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（一）定标原则</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采购人或其授权的评标委员会应按照评标报告中推荐的中标候选人排名顺序确定中标人。</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（二）定标程序</w:t>
      </w:r>
    </w:p>
    <w:p>
      <w:pPr>
        <w:pStyle w:val="30"/>
        <w:spacing w:line="400" w:lineRule="exact"/>
        <w:ind w:firstLine="480" w:firstLineChars="200"/>
        <w:rPr>
          <w:rFonts w:hint="eastAsia" w:ascii="仿宋" w:hAnsi="仿宋" w:eastAsia="仿宋" w:cs="仿宋"/>
          <w:sz w:val="24"/>
        </w:rPr>
      </w:pPr>
      <w:r>
        <w:rPr>
          <w:rFonts w:hint="eastAsia" w:ascii="仿宋" w:hAnsi="仿宋" w:eastAsia="仿宋" w:cs="仿宋"/>
          <w:sz w:val="24"/>
        </w:rPr>
        <w:t>1.采购代理机构应当在评标结束后2个工作日内将评标报告送采购人。</w:t>
      </w:r>
    </w:p>
    <w:p>
      <w:pPr>
        <w:pStyle w:val="30"/>
        <w:spacing w:line="400" w:lineRule="exact"/>
        <w:ind w:firstLine="480" w:firstLineChars="200"/>
        <w:rPr>
          <w:rStyle w:val="65"/>
          <w:rFonts w:hint="eastAsia" w:ascii="仿宋" w:hAnsi="仿宋" w:eastAsia="仿宋" w:cs="仿宋"/>
          <w:kern w:val="0"/>
          <w:lang w:eastAsia="zh-TW"/>
        </w:rPr>
      </w:pPr>
      <w:r>
        <w:rPr>
          <w:rFonts w:hint="eastAsia" w:ascii="仿宋" w:hAnsi="仿宋" w:eastAsia="仿宋" w:cs="仿宋"/>
          <w:sz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0"/>
        <w:spacing w:line="400" w:lineRule="exact"/>
        <w:ind w:firstLine="480" w:firstLineChars="200"/>
        <w:rPr>
          <w:rFonts w:hint="eastAsia" w:ascii="仿宋" w:hAnsi="仿宋" w:eastAsia="仿宋" w:cs="仿宋"/>
          <w:sz w:val="24"/>
        </w:rPr>
      </w:pPr>
      <w:r>
        <w:rPr>
          <w:rFonts w:hint="eastAsia" w:ascii="仿宋" w:hAnsi="仿宋" w:eastAsia="仿宋" w:cs="仿宋"/>
          <w:sz w:val="24"/>
        </w:rPr>
        <w:t>3.采购人或者采购代理机构应当自中标人确定之日起2个工作日内，在重庆市万州高级技工学校网站上公告中标结果。中标公告期限为1个工作日。</w:t>
      </w:r>
    </w:p>
    <w:p>
      <w:pPr>
        <w:pStyle w:val="30"/>
        <w:spacing w:line="400" w:lineRule="exact"/>
        <w:ind w:firstLine="480" w:firstLineChars="200"/>
        <w:rPr>
          <w:rFonts w:hint="eastAsia" w:ascii="仿宋" w:hAnsi="仿宋" w:eastAsia="仿宋" w:cs="仿宋"/>
          <w:sz w:val="24"/>
        </w:rPr>
      </w:pPr>
      <w:r>
        <w:rPr>
          <w:rFonts w:hint="eastAsia" w:ascii="仿宋" w:hAnsi="仿宋" w:eastAsia="仿宋" w:cs="仿宋"/>
          <w:sz w:val="24"/>
        </w:rPr>
        <w:t>4.中标人变更</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中标人拒绝与采购人签订合同的，采购人可以按照评标报告推荐的中标候选人顺序，确定排名下一位的候选人为中标人，也可以重新开展政府采购活动。</w:t>
      </w:r>
    </w:p>
    <w:p>
      <w:pPr>
        <w:pStyle w:val="4"/>
        <w:spacing w:line="400" w:lineRule="exact"/>
        <w:ind w:firstLine="482" w:firstLineChars="200"/>
        <w:rPr>
          <w:rFonts w:hint="eastAsia" w:ascii="仿宋" w:hAnsi="仿宋" w:eastAsia="仿宋"/>
          <w:b/>
          <w:sz w:val="24"/>
        </w:rPr>
      </w:pPr>
      <w:bookmarkStart w:id="42" w:name="_Toc29128"/>
      <w:r>
        <w:rPr>
          <w:rFonts w:hint="eastAsia" w:ascii="仿宋" w:hAnsi="仿宋" w:eastAsia="仿宋"/>
          <w:b/>
          <w:sz w:val="24"/>
          <w:lang w:eastAsia="zh-CN"/>
        </w:rPr>
        <w:t>七</w:t>
      </w:r>
      <w:r>
        <w:rPr>
          <w:rFonts w:hint="eastAsia" w:ascii="仿宋" w:hAnsi="仿宋" w:eastAsia="仿宋"/>
          <w:b/>
          <w:sz w:val="24"/>
        </w:rPr>
        <w:t>、中标通知书</w:t>
      </w:r>
      <w:bookmarkEnd w:id="42"/>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（一）采购人依法确定中标人后，采购代理机构以书面形式发出中标通知书。</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（二）中标通知书发出后，采购人改变中标结果，或者中标人放弃中标，应当承担相应的法律责任。</w:t>
      </w:r>
    </w:p>
    <w:p>
      <w:pPr>
        <w:pStyle w:val="4"/>
        <w:spacing w:line="400" w:lineRule="exact"/>
        <w:ind w:firstLine="482" w:firstLineChars="200"/>
        <w:rPr>
          <w:rFonts w:hint="eastAsia" w:ascii="仿宋" w:hAnsi="仿宋" w:eastAsia="仿宋"/>
          <w:b/>
          <w:sz w:val="24"/>
        </w:rPr>
      </w:pPr>
      <w:bookmarkStart w:id="43" w:name="_Toc29978"/>
      <w:r>
        <w:rPr>
          <w:rFonts w:hint="eastAsia" w:ascii="仿宋" w:hAnsi="仿宋" w:eastAsia="仿宋"/>
          <w:b/>
          <w:sz w:val="24"/>
          <w:lang w:eastAsia="zh-CN"/>
        </w:rPr>
        <w:t>八</w:t>
      </w:r>
      <w:r>
        <w:rPr>
          <w:rFonts w:hint="eastAsia" w:ascii="仿宋" w:hAnsi="仿宋" w:eastAsia="仿宋"/>
          <w:b/>
          <w:sz w:val="24"/>
        </w:rPr>
        <w:t>、</w:t>
      </w:r>
      <w:r>
        <w:rPr>
          <w:rFonts w:hint="eastAsia" w:ascii="仿宋" w:hAnsi="仿宋" w:eastAsia="仿宋" w:cs="仿宋"/>
          <w:b/>
          <w:sz w:val="24"/>
        </w:rPr>
        <w:t>询问、质疑和投诉</w:t>
      </w:r>
      <w:bookmarkEnd w:id="43"/>
    </w:p>
    <w:p>
      <w:pPr>
        <w:spacing w:line="400" w:lineRule="exact"/>
        <w:ind w:right="12" w:firstLine="480"/>
        <w:rPr>
          <w:rFonts w:hint="eastAsia" w:ascii="仿宋" w:hAnsi="仿宋" w:eastAsia="仿宋" w:cs="仿宋"/>
          <w:sz w:val="24"/>
        </w:rPr>
      </w:pPr>
      <w:r>
        <w:rPr>
          <w:rFonts w:hint="eastAsia" w:ascii="仿宋" w:hAnsi="仿宋" w:eastAsia="仿宋" w:cs="仿宋"/>
          <w:sz w:val="24"/>
        </w:rPr>
        <w:t>（一）询问</w:t>
      </w:r>
    </w:p>
    <w:p>
      <w:pPr>
        <w:spacing w:line="400" w:lineRule="exact"/>
        <w:ind w:right="12" w:firstLine="480"/>
        <w:rPr>
          <w:rFonts w:hint="eastAsia" w:ascii="仿宋" w:hAnsi="仿宋" w:eastAsia="仿宋" w:cs="仿宋"/>
          <w:sz w:val="24"/>
        </w:rPr>
      </w:pPr>
      <w:r>
        <w:rPr>
          <w:rFonts w:hint="eastAsia" w:ascii="仿宋" w:hAnsi="仿宋" w:eastAsia="仿宋" w:cs="仿宋"/>
          <w:sz w:val="24"/>
        </w:rPr>
        <w:t>采购人或者采购代理机构应当在3个工作日内对投标人依法提出的询问作出答复。投标人询问可以是口头或书面形式。</w:t>
      </w:r>
    </w:p>
    <w:p>
      <w:pPr>
        <w:spacing w:line="400" w:lineRule="exact"/>
        <w:ind w:right="12" w:firstLine="480"/>
        <w:rPr>
          <w:rFonts w:hint="eastAsia" w:ascii="仿宋" w:hAnsi="仿宋" w:eastAsia="仿宋" w:cs="仿宋"/>
          <w:sz w:val="24"/>
        </w:rPr>
      </w:pPr>
      <w:r>
        <w:rPr>
          <w:rFonts w:hint="eastAsia" w:ascii="仿宋" w:hAnsi="仿宋" w:eastAsia="仿宋" w:cs="仿宋"/>
          <w:sz w:val="24"/>
        </w:rPr>
        <w:t>（二）质疑</w:t>
      </w:r>
    </w:p>
    <w:p>
      <w:pPr>
        <w:spacing w:line="400" w:lineRule="exact"/>
        <w:ind w:right="12" w:firstLine="480"/>
        <w:rPr>
          <w:rFonts w:hint="eastAsia" w:ascii="仿宋" w:hAnsi="仿宋" w:eastAsia="仿宋" w:cs="仿宋"/>
          <w:sz w:val="24"/>
        </w:rPr>
      </w:pPr>
      <w:r>
        <w:rPr>
          <w:rFonts w:hint="eastAsia" w:ascii="仿宋" w:hAnsi="仿宋" w:eastAsia="仿宋" w:cs="仿宋"/>
          <w:sz w:val="24"/>
        </w:rPr>
        <w:t>1.质疑内容、时限</w:t>
      </w:r>
    </w:p>
    <w:p>
      <w:pPr>
        <w:spacing w:line="400" w:lineRule="exact"/>
        <w:ind w:right="12" w:firstLine="480"/>
        <w:rPr>
          <w:rFonts w:hint="eastAsia" w:ascii="仿宋" w:hAnsi="仿宋" w:eastAsia="仿宋" w:cs="仿宋"/>
          <w:sz w:val="24"/>
        </w:rPr>
      </w:pPr>
      <w:r>
        <w:rPr>
          <w:rFonts w:hint="eastAsia" w:ascii="仿宋" w:hAnsi="仿宋" w:eastAsia="仿宋" w:cs="仿宋"/>
          <w:sz w:val="24"/>
        </w:rPr>
        <w:t>1.1招标文件公告期限为采购公告发出之日起五个工作日，投标人对招标文件提出质疑的，应在招标文件公告期限届满之日起七个工作日内以书面形式向采购人提出，并附相关证明材料（包括营业执照复印件、法人身份证明复印件、授权委托书原件、被授权人身份证明复印件、质疑证明材料），质疑模板请自行在重庆市政府采购网上下载。</w:t>
      </w:r>
    </w:p>
    <w:p>
      <w:pPr>
        <w:spacing w:line="400" w:lineRule="exact"/>
        <w:ind w:right="12" w:firstLine="480"/>
        <w:rPr>
          <w:rFonts w:hint="eastAsia" w:ascii="仿宋" w:hAnsi="仿宋" w:eastAsia="仿宋" w:cs="仿宋"/>
          <w:sz w:val="24"/>
        </w:rPr>
      </w:pPr>
      <w:r>
        <w:rPr>
          <w:rFonts w:hint="eastAsia" w:ascii="仿宋" w:hAnsi="仿宋" w:eastAsia="仿宋" w:cs="仿宋"/>
          <w:sz w:val="24"/>
        </w:rPr>
        <w:t>1.2 投标人对采购过程提出质疑的，应在各采购程序环节结束之日起七个工作日内以书面形式向采购人、采购代理机构提出，并附相关证明材料（包括营业执照复印件、法人身份证明复印件、授权委托书原件、被授权人身份证明复印件、质疑证明材料），质疑模板请自行在重庆市政府采购网上下载。</w:t>
      </w:r>
    </w:p>
    <w:p>
      <w:pPr>
        <w:spacing w:line="400" w:lineRule="exact"/>
        <w:ind w:right="12" w:firstLine="480"/>
        <w:rPr>
          <w:rFonts w:hint="eastAsia" w:ascii="仿宋" w:hAnsi="仿宋" w:eastAsia="仿宋" w:cs="仿宋"/>
          <w:sz w:val="24"/>
        </w:rPr>
      </w:pPr>
      <w:r>
        <w:rPr>
          <w:rFonts w:hint="eastAsia" w:ascii="仿宋" w:hAnsi="仿宋" w:eastAsia="仿宋" w:cs="仿宋"/>
          <w:sz w:val="24"/>
        </w:rPr>
        <w:t>1.3中标结果公告期限为中标结果公告发出之日起一个工作日，投标人对中标结果如有异议的，应当在中标结果公告期限届满之日起七个工作日内以书面形式向采购人提出质疑，并附相关证明材料（包括营业执照复印件、法人身份证明复印件、授权委托书原件、被授权人身份证明复印件、质疑证明材料），质疑模板请自行在重庆市政府采购网上下载。</w:t>
      </w:r>
    </w:p>
    <w:p>
      <w:pPr>
        <w:spacing w:line="400" w:lineRule="exact"/>
        <w:ind w:right="12" w:firstLine="480"/>
        <w:rPr>
          <w:rFonts w:hint="eastAsia" w:ascii="仿宋" w:hAnsi="仿宋" w:eastAsia="仿宋" w:cs="仿宋"/>
          <w:sz w:val="24"/>
        </w:rPr>
      </w:pPr>
      <w:r>
        <w:rPr>
          <w:rFonts w:hint="eastAsia" w:ascii="仿宋" w:hAnsi="仿宋" w:eastAsia="仿宋" w:cs="仿宋"/>
          <w:sz w:val="24"/>
        </w:rPr>
        <w:t>1.4投标人对除开评标过程以外的质疑，应向采购人提出质疑。</w:t>
      </w:r>
    </w:p>
    <w:p>
      <w:pPr>
        <w:spacing w:line="400" w:lineRule="exact"/>
        <w:ind w:right="12" w:firstLine="480"/>
        <w:rPr>
          <w:rFonts w:hint="eastAsia" w:ascii="仿宋" w:hAnsi="仿宋" w:eastAsia="仿宋" w:cs="仿宋"/>
          <w:sz w:val="24"/>
        </w:rPr>
      </w:pPr>
      <w:r>
        <w:rPr>
          <w:rFonts w:hint="eastAsia" w:ascii="仿宋" w:hAnsi="仿宋" w:eastAsia="仿宋" w:cs="仿宋"/>
          <w:sz w:val="24"/>
        </w:rPr>
        <w:t>1.5 供应商应在法定质疑期内一次性提出针对同一采购程序环节的质疑。</w:t>
      </w:r>
    </w:p>
    <w:p>
      <w:pPr>
        <w:spacing w:line="400" w:lineRule="exact"/>
        <w:ind w:right="12" w:firstLine="480"/>
        <w:rPr>
          <w:rFonts w:hint="eastAsia" w:ascii="仿宋" w:hAnsi="仿宋" w:eastAsia="仿宋" w:cs="仿宋"/>
          <w:sz w:val="24"/>
        </w:rPr>
      </w:pPr>
      <w:r>
        <w:rPr>
          <w:rFonts w:hint="eastAsia" w:ascii="仿宋" w:hAnsi="仿宋" w:eastAsia="仿宋" w:cs="仿宋"/>
          <w:sz w:val="24"/>
        </w:rPr>
        <w:t>1.6 质疑文件的递交：一式两份，采购人和采购代理机构各一份。</w:t>
      </w:r>
    </w:p>
    <w:p>
      <w:pPr>
        <w:spacing w:line="400" w:lineRule="exact"/>
        <w:ind w:right="12" w:firstLine="480"/>
        <w:rPr>
          <w:rFonts w:hint="eastAsia" w:ascii="仿宋" w:hAnsi="仿宋" w:eastAsia="仿宋" w:cs="仿宋"/>
          <w:sz w:val="24"/>
        </w:rPr>
      </w:pPr>
      <w:r>
        <w:rPr>
          <w:rFonts w:hint="eastAsia" w:ascii="仿宋" w:hAnsi="仿宋" w:eastAsia="仿宋" w:cs="仿宋"/>
          <w:sz w:val="24"/>
        </w:rPr>
        <w:t>2.质疑答复</w:t>
      </w:r>
    </w:p>
    <w:p>
      <w:pPr>
        <w:spacing w:line="400" w:lineRule="exact"/>
        <w:ind w:right="12" w:firstLine="480"/>
        <w:rPr>
          <w:rFonts w:hint="eastAsia" w:ascii="仿宋" w:hAnsi="仿宋" w:eastAsia="仿宋" w:cs="仿宋"/>
          <w:sz w:val="24"/>
        </w:rPr>
      </w:pPr>
      <w:r>
        <w:rPr>
          <w:rFonts w:hint="eastAsia" w:ascii="仿宋" w:hAnsi="仿宋" w:eastAsia="仿宋" w:cs="仿宋"/>
          <w:sz w:val="24"/>
        </w:rPr>
        <w:t>采购人或采购代理机构应当在收到投标人的书面质疑后七个工作日内作出答复，并以书面形式通知质疑投标人和其他有关投标人。</w:t>
      </w:r>
    </w:p>
    <w:p>
      <w:pPr>
        <w:spacing w:line="400" w:lineRule="exact"/>
        <w:ind w:right="12" w:firstLine="480"/>
        <w:rPr>
          <w:rFonts w:hint="eastAsia" w:ascii="仿宋" w:hAnsi="仿宋" w:eastAsia="仿宋" w:cs="仿宋"/>
          <w:sz w:val="24"/>
        </w:rPr>
      </w:pPr>
      <w:r>
        <w:rPr>
          <w:rFonts w:hint="eastAsia" w:ascii="仿宋" w:hAnsi="仿宋" w:eastAsia="仿宋" w:cs="仿宋"/>
          <w:sz w:val="24"/>
        </w:rPr>
        <w:t>（三）投诉</w:t>
      </w:r>
    </w:p>
    <w:p>
      <w:pPr>
        <w:spacing w:line="400" w:lineRule="exact"/>
        <w:ind w:right="12" w:firstLine="480"/>
        <w:rPr>
          <w:rFonts w:hint="eastAsia" w:ascii="仿宋" w:hAnsi="仿宋" w:eastAsia="仿宋" w:cs="仿宋"/>
          <w:sz w:val="24"/>
        </w:rPr>
      </w:pPr>
      <w:r>
        <w:rPr>
          <w:rFonts w:hint="eastAsia" w:ascii="仿宋" w:hAnsi="仿宋" w:eastAsia="仿宋" w:cs="仿宋"/>
          <w:sz w:val="24"/>
        </w:rPr>
        <w:t>1.投标人对采购人、采购代理机构的答复不满意，或者采购人、采购代理机构未在规定时间内答复的，可在答复期满后十五个工作日内按有关规定，向同级财政部门投诉。</w:t>
      </w:r>
    </w:p>
    <w:p>
      <w:pPr>
        <w:spacing w:line="400" w:lineRule="exact"/>
        <w:ind w:right="12" w:firstLine="480"/>
        <w:rPr>
          <w:rFonts w:hint="eastAsia" w:ascii="仿宋" w:hAnsi="仿宋" w:eastAsia="仿宋" w:cs="仿宋"/>
          <w:sz w:val="24"/>
        </w:rPr>
      </w:pPr>
      <w:r>
        <w:rPr>
          <w:rFonts w:hint="eastAsia" w:ascii="仿宋" w:hAnsi="仿宋" w:eastAsia="仿宋" w:cs="仿宋"/>
          <w:sz w:val="24"/>
        </w:rPr>
        <w:t>2.在提出投诉时，应附送相关证明材料。投诉书及证明材料为外文的，应同时提供其中文译本；中文与外文意思不一致的，以中文为准。</w:t>
      </w:r>
    </w:p>
    <w:p>
      <w:pPr>
        <w:snapToGrid w:val="0"/>
        <w:spacing w:line="400" w:lineRule="exact"/>
        <w:ind w:firstLine="480" w:firstLineChars="200"/>
        <w:rPr>
          <w:rFonts w:hint="eastAsia" w:ascii="仿宋" w:hAnsi="仿宋" w:eastAsia="仿宋"/>
          <w:sz w:val="24"/>
        </w:rPr>
      </w:pPr>
      <w:r>
        <w:rPr>
          <w:rFonts w:hint="eastAsia" w:ascii="仿宋" w:hAnsi="仿宋" w:eastAsia="仿宋" w:cs="仿宋"/>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adjustRightInd w:val="0"/>
        <w:snapToGrid w:val="0"/>
        <w:spacing w:line="312" w:lineRule="auto"/>
        <w:outlineLvl w:val="1"/>
        <w:rPr>
          <w:rFonts w:hint="eastAsia" w:ascii="仿宋" w:hAnsi="仿宋" w:eastAsia="仿宋"/>
          <w:b/>
          <w:sz w:val="24"/>
        </w:rPr>
      </w:pPr>
      <w:bookmarkStart w:id="44" w:name="_Toc46824752"/>
      <w:bookmarkStart w:id="45" w:name="_Toc474419983"/>
      <w:bookmarkStart w:id="46" w:name="_Toc4305"/>
      <w:bookmarkStart w:id="47" w:name="_Toc30334"/>
      <w:r>
        <w:rPr>
          <w:rFonts w:hint="eastAsia" w:ascii="仿宋" w:hAnsi="仿宋" w:eastAsia="仿宋"/>
          <w:b/>
          <w:sz w:val="24"/>
        </w:rPr>
        <w:t>九、</w:t>
      </w:r>
      <w:bookmarkEnd w:id="44"/>
      <w:bookmarkEnd w:id="45"/>
      <w:bookmarkEnd w:id="46"/>
      <w:r>
        <w:rPr>
          <w:rFonts w:hint="eastAsia" w:ascii="仿宋" w:hAnsi="仿宋" w:eastAsia="仿宋"/>
          <w:b/>
          <w:sz w:val="24"/>
        </w:rPr>
        <w:t>采购代理服务费</w:t>
      </w:r>
    </w:p>
    <w:p>
      <w:pPr>
        <w:pStyle w:val="4"/>
        <w:spacing w:line="40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采购代理服务费为3000元，采购代理服务费由成交供应商在领取成交通知书前向采购代理机构一次缴纳。</w:t>
      </w:r>
    </w:p>
    <w:p>
      <w:pPr>
        <w:pStyle w:val="4"/>
        <w:spacing w:line="400" w:lineRule="exact"/>
        <w:rPr>
          <w:rFonts w:hint="eastAsia" w:ascii="仿宋" w:hAnsi="仿宋" w:eastAsia="仿宋"/>
          <w:b/>
          <w:sz w:val="24"/>
          <w:lang w:val="en-US" w:eastAsia="zh-CN"/>
        </w:rPr>
      </w:pPr>
      <w:r>
        <w:rPr>
          <w:rFonts w:hint="eastAsia" w:ascii="仿宋" w:hAnsi="仿宋" w:eastAsia="仿宋"/>
          <w:b/>
          <w:sz w:val="24"/>
          <w:lang w:val="en-US" w:eastAsia="zh-CN"/>
        </w:rPr>
        <w:t>十、签订合同</w:t>
      </w:r>
      <w:bookmarkEnd w:id="47"/>
    </w:p>
    <w:p>
      <w:pPr>
        <w:spacing w:line="400" w:lineRule="exact"/>
        <w:ind w:firstLine="480" w:firstLineChars="200"/>
        <w:rPr>
          <w:rFonts w:hint="eastAsia" w:ascii="仿宋" w:hAnsi="仿宋" w:eastAsia="仿宋"/>
          <w:sz w:val="24"/>
        </w:rPr>
      </w:pPr>
      <w:r>
        <w:rPr>
          <w:rFonts w:hint="eastAsia" w:ascii="仿宋" w:hAnsi="仿宋" w:eastAsia="仿宋"/>
          <w:sz w:val="24"/>
        </w:rPr>
        <w:t>（一）采购人应当自中标通知书发出之日起十日内，按照招标文件和中标人投标文件的约定，与中标人签订书面合同。所签订的合同不得对招标文件和中标人投标文件作实质性修改。</w:t>
      </w:r>
    </w:p>
    <w:p>
      <w:pPr>
        <w:spacing w:line="400" w:lineRule="exact"/>
        <w:ind w:firstLine="480" w:firstLineChars="200"/>
        <w:rPr>
          <w:rFonts w:hint="eastAsia" w:ascii="仿宋" w:hAnsi="仿宋" w:eastAsia="仿宋"/>
          <w:sz w:val="24"/>
        </w:rPr>
      </w:pPr>
      <w:r>
        <w:rPr>
          <w:rFonts w:hint="eastAsia" w:ascii="仿宋" w:hAnsi="仿宋" w:eastAsia="仿宋"/>
          <w:sz w:val="24"/>
        </w:rPr>
        <w:t>（二）</w:t>
      </w:r>
      <w:r>
        <w:rPr>
          <w:rFonts w:ascii="仿宋" w:hAnsi="仿宋" w:eastAsia="仿宋"/>
          <w:sz w:val="24"/>
        </w:rPr>
        <w:t>采购人应当自政府采购合同签订之日起2个工作日内，将政府采购合同在</w:t>
      </w:r>
      <w:r>
        <w:rPr>
          <w:rFonts w:hint="eastAsia" w:ascii="仿宋" w:hAnsi="仿宋" w:eastAsia="仿宋"/>
          <w:sz w:val="24"/>
        </w:rPr>
        <w:t>重庆市万州高级技工学校网站上</w:t>
      </w:r>
      <w:r>
        <w:rPr>
          <w:rFonts w:ascii="仿宋" w:hAnsi="仿宋" w:eastAsia="仿宋"/>
          <w:sz w:val="24"/>
        </w:rPr>
        <w:t>公告，但政府采购合同中涉及国家秘密、商业秘密的内容除外。</w:t>
      </w:r>
    </w:p>
    <w:p>
      <w:pPr>
        <w:spacing w:line="400" w:lineRule="exact"/>
        <w:ind w:firstLine="480" w:firstLineChars="200"/>
        <w:rPr>
          <w:rFonts w:hint="eastAsia" w:ascii="仿宋" w:hAnsi="仿宋" w:eastAsia="仿宋"/>
          <w:sz w:val="24"/>
        </w:rPr>
      </w:pPr>
      <w:r>
        <w:rPr>
          <w:rFonts w:hint="eastAsia" w:ascii="仿宋" w:hAnsi="仿宋" w:eastAsia="仿宋"/>
          <w:sz w:val="24"/>
        </w:rPr>
        <w:t>（三）招标文件、中标人的投标文件及澄清文件等，均为签订政府采购合同的依据。</w:t>
      </w:r>
    </w:p>
    <w:p>
      <w:pPr>
        <w:spacing w:line="400" w:lineRule="exact"/>
        <w:ind w:firstLine="480" w:firstLineChars="200"/>
        <w:rPr>
          <w:rFonts w:hint="eastAsia" w:ascii="仿宋" w:hAnsi="仿宋" w:eastAsia="仿宋"/>
          <w:sz w:val="24"/>
        </w:rPr>
      </w:pPr>
      <w:r>
        <w:rPr>
          <w:rFonts w:hint="eastAsia" w:ascii="仿宋" w:hAnsi="仿宋" w:eastAsia="仿宋"/>
          <w:sz w:val="24"/>
        </w:rPr>
        <w:t>（四）合同生效条款由供需双方约定，法律、行政法规规定应当办理批准、登记等手续后生效的合同，依照其规定。</w:t>
      </w:r>
    </w:p>
    <w:p>
      <w:pPr>
        <w:spacing w:line="400" w:lineRule="exact"/>
        <w:ind w:firstLine="480" w:firstLineChars="200"/>
        <w:rPr>
          <w:rFonts w:hint="eastAsia" w:ascii="仿宋" w:hAnsi="仿宋" w:eastAsia="仿宋"/>
          <w:sz w:val="24"/>
        </w:rPr>
      </w:pPr>
      <w:r>
        <w:rPr>
          <w:rFonts w:hint="eastAsia" w:ascii="仿宋" w:hAnsi="仿宋" w:eastAsia="仿宋"/>
          <w:sz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仿宋" w:hAnsi="仿宋" w:eastAsia="仿宋"/>
          <w:sz w:val="24"/>
        </w:rPr>
      </w:pPr>
      <w:r>
        <w:rPr>
          <w:rFonts w:hint="eastAsia" w:ascii="仿宋" w:hAnsi="仿宋" w:eastAsia="仿宋"/>
          <w:sz w:val="24"/>
        </w:rPr>
        <w:t>（六）采购人要求中标人提供履约保证金的，应当在招标文件中予以约定。中标人履约完毕后，采购人应按招标文件及合同的约定无息退还其履约保证金。</w:t>
      </w:r>
    </w:p>
    <w:p>
      <w:pPr>
        <w:spacing w:line="400" w:lineRule="exact"/>
        <w:ind w:firstLine="480" w:firstLineChars="200"/>
        <w:rPr>
          <w:rFonts w:ascii="仿宋" w:hAnsi="仿宋" w:eastAsia="仿宋"/>
          <w:sz w:val="24"/>
        </w:rPr>
      </w:pPr>
    </w:p>
    <w:p>
      <w:pPr>
        <w:pStyle w:val="3"/>
        <w:spacing w:before="0" w:beforeLines="0" w:after="0" w:afterLines="0" w:line="360" w:lineRule="auto"/>
        <w:rPr>
          <w:rFonts w:hint="eastAsia" w:ascii="仿宋" w:hAnsi="仿宋" w:eastAsia="仿宋"/>
          <w:b/>
        </w:rPr>
      </w:pPr>
      <w:r>
        <w:rPr>
          <w:rFonts w:ascii="仿宋" w:hAnsi="仿宋" w:eastAsia="仿宋"/>
        </w:rPr>
        <w:br w:type="page"/>
      </w:r>
      <w:bookmarkStart w:id="48" w:name="_Toc25082"/>
      <w:r>
        <w:rPr>
          <w:rFonts w:hint="eastAsia" w:ascii="仿宋" w:hAnsi="仿宋" w:eastAsia="仿宋"/>
          <w:b/>
        </w:rPr>
        <w:t>第六篇  合同主要条款和格式合同（样本）</w:t>
      </w:r>
      <w:bookmarkEnd w:id="48"/>
    </w:p>
    <w:p>
      <w:pPr>
        <w:pStyle w:val="4"/>
        <w:spacing w:line="500" w:lineRule="exact"/>
        <w:ind w:firstLine="482" w:firstLineChars="200"/>
        <w:rPr>
          <w:rFonts w:hint="eastAsia" w:ascii="仿宋" w:hAnsi="仿宋" w:eastAsia="仿宋"/>
          <w:b/>
          <w:sz w:val="24"/>
        </w:rPr>
      </w:pPr>
      <w:bookmarkStart w:id="49" w:name="_Toc285722712"/>
      <w:bookmarkStart w:id="50" w:name="_Toc23428"/>
      <w:bookmarkStart w:id="51" w:name="_Toc277084870"/>
      <w:r>
        <w:rPr>
          <w:rFonts w:hint="eastAsia" w:ascii="仿宋" w:hAnsi="仿宋" w:eastAsia="仿宋"/>
          <w:b/>
          <w:sz w:val="24"/>
        </w:rPr>
        <w:t>一、合同主要条款</w:t>
      </w:r>
      <w:bookmarkEnd w:id="49"/>
      <w:bookmarkEnd w:id="50"/>
      <w:bookmarkEnd w:id="51"/>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1.定义</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1.1甲方（需方）即采购人，是指通过招标采购，接受合同货物及服务的各级国家机关、事业单位和团体组织。</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1.2乙方（供方）即中标人，是指中标后提供合同货物和服务的自然人、法人及其他组织。</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1.3合同是指由甲乙双方按照招标文件和投标文件的实质性内容，通过协商一致达成的书面协议。</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1.4合同价格指以中标价格为依据，在供方全面履行合同义务后，需方（或财政部门）应支付给供方的金额。</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1.5技术资料是指合同货物及其相关的设计、制造、监造、检验、验收等文件（包括图纸、各种文字说明、标准）。</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2.货物内容</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合同包括以下内容：货物名称、型号规格、技术参数、数量（单位）等内容。</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3.合同价格</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3.1合同价格即合同总价。</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3.3合同货物单价为不变价。</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4.转包或分包</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4.1本合同范围的货物，应由乙方直接供应，不得转让他人供应；</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4.2非经甲方书面同意，乙方不得将本合同范围的货物全部或部分分包给他人供应；</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4.3如有转让和未经甲方同意的分包行为，甲方有权解除合同，没收履约保证金并追究乙方的违约责任。</w:t>
      </w:r>
    </w:p>
    <w:p>
      <w:pPr>
        <w:pStyle w:val="30"/>
        <w:spacing w:line="400" w:lineRule="exact"/>
        <w:ind w:firstLine="480" w:firstLineChars="200"/>
        <w:rPr>
          <w:rFonts w:hint="eastAsia" w:ascii="仿宋" w:hAnsi="仿宋" w:eastAsia="仿宋"/>
          <w:sz w:val="24"/>
        </w:rPr>
      </w:pPr>
      <w:r>
        <w:rPr>
          <w:rFonts w:hint="eastAsia" w:ascii="仿宋" w:hAnsi="仿宋" w:eastAsia="仿宋"/>
          <w:bCs/>
          <w:sz w:val="24"/>
        </w:rPr>
        <w:t>5.质量保证及售后服务</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5.1乙方应按招标文件规定的货物性能、技术要求、质量标准向甲方提供未经使用的全新产品。</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5.2乙方提供的货物在质保期内因货物本身的质量问题发生故障，乙方应负责免费更换。对达不到技术要求者，根据实际情况，经双方协商，可按以下办法处理：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5.2.1更换：由乙方承担所发生的全部费用。</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5.2.2贬值处理：由甲乙双方合议定价。</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5.2.3退货处理：乙方应退还甲方支付的合同款，同时应承担该货物的直接费用（运输、保险、检验、货款利息及银行手续费等）。</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5.3如在使用过程中发生质量问题，乙方应按本项目“第三篇 项目商务要求”中的要求处理。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5.4在质保期内，乙方应对货物出现的质量及安全问题负责处理解决并承担一切费用。</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5.5 如甲方要求乙方提供履约保证金的，履约保证金的收取和退还应按本项目“第三篇 项目商务要求”中的要求处理。</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6.付款</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6.1本合同使用货币币制如未作特别说明均为人民币。</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6.2付款方式：银行转账、现金支票。</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6.3付款方法：同本项目“第三篇 商务条款”中关于付款方式的约定。</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7.检查验收</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7.1供方应随货物提供合格证和质量证明文件，如是国外进口的货物还须提供入关证明。</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7.2货物验收</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7.3货物验收报告应由需方、供方经办人签字，并加盖双方公章，以此作为支付凭据。</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8.索赔</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供方对货物与合同要求不符负有责任，并且需方已于规定交货内和质量保证期内提出索赔，供方应按需方同意的下述一种或多种方法解决索赔事宜。</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8.2根据货物的疵劣和受损程度以及需方遭受损失的金额，经双方同意降低货物价格。</w:t>
      </w:r>
    </w:p>
    <w:p>
      <w:pPr>
        <w:pStyle w:val="30"/>
        <w:spacing w:line="400" w:lineRule="exact"/>
        <w:ind w:firstLine="480" w:firstLineChars="200"/>
        <w:rPr>
          <w:rFonts w:hint="eastAsia" w:ascii="仿宋" w:hAnsi="仿宋" w:eastAsia="仿宋"/>
          <w:sz w:val="24"/>
        </w:rPr>
      </w:pPr>
      <w:r>
        <w:rPr>
          <w:rFonts w:hint="eastAsia" w:ascii="仿宋" w:hAnsi="仿宋" w:eastAsia="仿宋"/>
          <w:sz w:val="24"/>
        </w:rPr>
        <w:t>9.知识产权</w:t>
      </w:r>
    </w:p>
    <w:p>
      <w:pPr>
        <w:pStyle w:val="30"/>
        <w:spacing w:line="400" w:lineRule="exact"/>
        <w:ind w:firstLine="480" w:firstLineChars="200"/>
        <w:rPr>
          <w:rFonts w:hint="eastAsia" w:ascii="仿宋" w:hAnsi="仿宋" w:eastAsia="仿宋"/>
          <w:sz w:val="24"/>
        </w:rPr>
      </w:pPr>
      <w:r>
        <w:rPr>
          <w:rFonts w:hint="eastAsia" w:ascii="仿宋" w:hAnsi="仿宋" w:eastAsia="仿宋" w:cs="宋体"/>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10.合同争议的解决</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10.1当事人友好协商达成一致</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10.2在60天内当事人协商不能达成协议的，可提请采购人当地仲裁机构仲裁。</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11.违约责任</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按《中华人民共和国合同法》、《中华人民共和国政府采购法》有关条款，或由供需双方约定。</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12.合同生效及其它</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12.1合同生效及其效力应符合《中华人民共和国合同法》有关规定。</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12.2合同应经当事人法定代表人或委托代理人签字，加盖双方合同专用章或公章。</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12.3合同所包括附件，是合同不可分割的一部分，具有同等法法律效力。</w:t>
      </w:r>
    </w:p>
    <w:p>
      <w:pPr>
        <w:snapToGrid w:val="0"/>
        <w:spacing w:line="400" w:lineRule="exact"/>
        <w:ind w:firstLine="480" w:firstLineChars="200"/>
        <w:outlineLvl w:val="0"/>
        <w:rPr>
          <w:rFonts w:hint="eastAsia" w:ascii="仿宋" w:hAnsi="仿宋" w:eastAsia="仿宋"/>
          <w:bCs/>
          <w:sz w:val="24"/>
        </w:rPr>
      </w:pPr>
      <w:r>
        <w:rPr>
          <w:rFonts w:hint="eastAsia" w:ascii="仿宋" w:hAnsi="仿宋" w:eastAsia="仿宋"/>
          <w:bCs/>
          <w:sz w:val="24"/>
        </w:rPr>
        <w:t>12.4合同需提供担保的，按《中华人民共和国担保法》规定执行。</w:t>
      </w:r>
    </w:p>
    <w:p>
      <w:pPr>
        <w:snapToGrid w:val="0"/>
        <w:spacing w:line="400" w:lineRule="exact"/>
        <w:ind w:firstLine="480" w:firstLineChars="200"/>
        <w:outlineLvl w:val="0"/>
        <w:rPr>
          <w:rFonts w:ascii="仿宋" w:hAnsi="仿宋" w:eastAsia="仿宋"/>
          <w:bCs/>
          <w:sz w:val="24"/>
        </w:rPr>
      </w:pPr>
      <w:r>
        <w:rPr>
          <w:rFonts w:hint="eastAsia" w:ascii="仿宋" w:hAnsi="仿宋" w:eastAsia="仿宋"/>
          <w:bCs/>
          <w:sz w:val="24"/>
        </w:rPr>
        <w:t>12.5本合同条件未尽事宜依照《中华人民共和国合同法》，由供需双方共同协商确定。</w:t>
      </w:r>
    </w:p>
    <w:p>
      <w:pPr>
        <w:snapToGrid w:val="0"/>
        <w:spacing w:line="500" w:lineRule="exact"/>
        <w:jc w:val="center"/>
        <w:outlineLvl w:val="0"/>
        <w:rPr>
          <w:rFonts w:ascii="仿宋" w:hAnsi="仿宋" w:eastAsia="仿宋"/>
          <w:sz w:val="44"/>
        </w:rPr>
        <w:sectPr>
          <w:headerReference r:id="rId11" w:type="default"/>
          <w:footerReference r:id="rId12" w:type="default"/>
          <w:pgSz w:w="11907" w:h="16840"/>
          <w:pgMar w:top="1134" w:right="1191" w:bottom="1134" w:left="1304" w:header="964" w:footer="992" w:gutter="0"/>
          <w:pgNumType w:fmt="numberInDash"/>
          <w:cols w:space="720" w:num="1"/>
          <w:docGrid w:linePitch="312" w:charSpace="0"/>
        </w:sectPr>
      </w:pPr>
    </w:p>
    <w:p>
      <w:pPr>
        <w:pStyle w:val="4"/>
        <w:spacing w:line="500" w:lineRule="exact"/>
        <w:ind w:firstLine="482" w:firstLineChars="200"/>
        <w:rPr>
          <w:rFonts w:hint="eastAsia" w:ascii="仿宋" w:hAnsi="仿宋" w:eastAsia="仿宋"/>
          <w:b/>
          <w:sz w:val="24"/>
        </w:rPr>
      </w:pPr>
      <w:bookmarkStart w:id="52" w:name="_Toc285722713"/>
      <w:bookmarkStart w:id="53" w:name="_Toc23067"/>
      <w:bookmarkStart w:id="54" w:name="_Toc277084871"/>
      <w:r>
        <w:rPr>
          <w:rFonts w:hint="eastAsia" w:ascii="仿宋" w:hAnsi="仿宋" w:eastAsia="仿宋"/>
          <w:b/>
          <w:sz w:val="24"/>
        </w:rPr>
        <w:t>二、政府采购合同（格式）</w:t>
      </w:r>
      <w:bookmarkEnd w:id="52"/>
      <w:bookmarkEnd w:id="53"/>
      <w:bookmarkEnd w:id="54"/>
    </w:p>
    <w:p>
      <w:pPr>
        <w:spacing w:line="500" w:lineRule="exact"/>
        <w:jc w:val="center"/>
        <w:rPr>
          <w:rFonts w:hint="eastAsia" w:ascii="仿宋" w:hAnsi="仿宋" w:eastAsia="仿宋"/>
          <w:b/>
          <w:sz w:val="44"/>
        </w:rPr>
      </w:pPr>
    </w:p>
    <w:p>
      <w:pPr>
        <w:spacing w:line="500" w:lineRule="exact"/>
        <w:jc w:val="center"/>
        <w:rPr>
          <w:rFonts w:hint="eastAsia" w:ascii="仿宋" w:hAnsi="仿宋" w:eastAsia="仿宋"/>
          <w:b/>
          <w:sz w:val="44"/>
        </w:rPr>
      </w:pPr>
      <w:r>
        <w:rPr>
          <w:rFonts w:hint="eastAsia" w:ascii="仿宋" w:hAnsi="仿宋" w:eastAsia="仿宋"/>
          <w:b/>
          <w:sz w:val="44"/>
        </w:rPr>
        <w:t>重庆市政府采购合同</w:t>
      </w:r>
    </w:p>
    <w:p>
      <w:pPr>
        <w:spacing w:line="500" w:lineRule="exact"/>
        <w:jc w:val="center"/>
        <w:rPr>
          <w:rFonts w:hint="eastAsia" w:ascii="仿宋" w:hAnsi="仿宋" w:eastAsia="仿宋"/>
        </w:rPr>
      </w:pPr>
      <w:r>
        <w:rPr>
          <w:rFonts w:hint="eastAsia" w:ascii="仿宋" w:hAnsi="仿宋" w:eastAsia="仿宋"/>
        </w:rPr>
        <w:t>（项目号：     ）</w:t>
      </w:r>
    </w:p>
    <w:p>
      <w:pPr>
        <w:spacing w:line="500" w:lineRule="exact"/>
        <w:rPr>
          <w:rFonts w:hint="eastAsia" w:ascii="仿宋" w:hAnsi="仿宋" w:eastAsia="仿宋"/>
          <w:sz w:val="24"/>
        </w:rPr>
      </w:pPr>
      <w:r>
        <w:rPr>
          <w:rFonts w:hint="eastAsia" w:ascii="仿宋" w:hAnsi="仿宋" w:eastAsia="仿宋"/>
          <w:sz w:val="24"/>
        </w:rPr>
        <w:t>甲方（需方）：___________________________      计价单位：____________</w:t>
      </w:r>
    </w:p>
    <w:p>
      <w:pPr>
        <w:spacing w:line="500" w:lineRule="exact"/>
        <w:rPr>
          <w:rFonts w:hint="eastAsia" w:ascii="仿宋" w:hAnsi="仿宋" w:eastAsia="仿宋"/>
          <w:sz w:val="24"/>
        </w:rPr>
      </w:pPr>
      <w:r>
        <w:rPr>
          <w:rFonts w:hint="eastAsia" w:ascii="仿宋" w:hAnsi="仿宋" w:eastAsia="仿宋"/>
          <w:sz w:val="24"/>
        </w:rPr>
        <w:t>乙方（供方）：___________________________      计量单位：_____________</w:t>
      </w:r>
    </w:p>
    <w:p>
      <w:pPr>
        <w:spacing w:line="500" w:lineRule="exact"/>
        <w:rPr>
          <w:rFonts w:hint="eastAsia" w:ascii="仿宋" w:hAnsi="仿宋" w:eastAsia="仿宋"/>
          <w:sz w:val="24"/>
        </w:rPr>
      </w:pPr>
    </w:p>
    <w:p>
      <w:pPr>
        <w:spacing w:line="500" w:lineRule="exact"/>
        <w:rPr>
          <w:rFonts w:hint="eastAsia" w:ascii="仿宋" w:hAnsi="仿宋" w:eastAsia="仿宋"/>
          <w:sz w:val="24"/>
        </w:rPr>
      </w:pPr>
      <w:r>
        <w:rPr>
          <w:rFonts w:hint="eastAsia" w:ascii="仿宋" w:hAnsi="仿宋" w:eastAsia="仿宋"/>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992"/>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商品名称</w:t>
            </w:r>
          </w:p>
        </w:tc>
        <w:tc>
          <w:tcPr>
            <w:tcW w:w="1741"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规格型号</w:t>
            </w:r>
          </w:p>
        </w:tc>
        <w:tc>
          <w:tcPr>
            <w:tcW w:w="984"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数量</w:t>
            </w:r>
          </w:p>
        </w:tc>
        <w:tc>
          <w:tcPr>
            <w:tcW w:w="1298" w:type="dxa"/>
            <w:gridSpan w:val="2"/>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综合单价</w:t>
            </w:r>
          </w:p>
        </w:tc>
        <w:tc>
          <w:tcPr>
            <w:tcW w:w="1134"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总价</w:t>
            </w:r>
          </w:p>
        </w:tc>
        <w:tc>
          <w:tcPr>
            <w:tcW w:w="1559"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交货时间</w:t>
            </w:r>
          </w:p>
        </w:tc>
        <w:tc>
          <w:tcPr>
            <w:tcW w:w="1567" w:type="dxa"/>
            <w:noWrap w:val="0"/>
            <w:vAlign w:val="center"/>
          </w:tcPr>
          <w:p>
            <w:pPr>
              <w:spacing w:line="240" w:lineRule="atLeast"/>
              <w:jc w:val="center"/>
              <w:rPr>
                <w:rFonts w:hint="eastAsia" w:ascii="仿宋" w:hAnsi="仿宋" w:eastAsia="仿宋"/>
                <w:sz w:val="21"/>
                <w:szCs w:val="21"/>
              </w:rPr>
            </w:pPr>
            <w:r>
              <w:rPr>
                <w:rFonts w:hint="eastAsia" w:ascii="仿宋" w:hAnsi="仿宋"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240" w:lineRule="atLeast"/>
              <w:jc w:val="center"/>
              <w:rPr>
                <w:rFonts w:hint="eastAsia" w:ascii="仿宋" w:hAnsi="仿宋" w:eastAsia="仿宋"/>
                <w:sz w:val="21"/>
                <w:szCs w:val="21"/>
              </w:rPr>
            </w:pPr>
          </w:p>
        </w:tc>
        <w:tc>
          <w:tcPr>
            <w:tcW w:w="1741" w:type="dxa"/>
            <w:noWrap w:val="0"/>
            <w:vAlign w:val="center"/>
          </w:tcPr>
          <w:p>
            <w:pPr>
              <w:spacing w:line="240" w:lineRule="atLeast"/>
              <w:jc w:val="center"/>
              <w:rPr>
                <w:rFonts w:hint="eastAsia" w:ascii="仿宋" w:hAnsi="仿宋" w:eastAsia="仿宋"/>
                <w:sz w:val="21"/>
                <w:szCs w:val="21"/>
              </w:rPr>
            </w:pPr>
          </w:p>
        </w:tc>
        <w:tc>
          <w:tcPr>
            <w:tcW w:w="984" w:type="dxa"/>
            <w:noWrap w:val="0"/>
            <w:vAlign w:val="center"/>
          </w:tcPr>
          <w:p>
            <w:pPr>
              <w:spacing w:line="240" w:lineRule="atLeast"/>
              <w:jc w:val="center"/>
              <w:rPr>
                <w:rFonts w:hint="eastAsia" w:ascii="仿宋" w:hAnsi="仿宋" w:eastAsia="仿宋"/>
                <w:sz w:val="21"/>
                <w:szCs w:val="21"/>
              </w:rPr>
            </w:pPr>
          </w:p>
        </w:tc>
        <w:tc>
          <w:tcPr>
            <w:tcW w:w="1298" w:type="dxa"/>
            <w:gridSpan w:val="2"/>
            <w:noWrap w:val="0"/>
            <w:vAlign w:val="center"/>
          </w:tcPr>
          <w:p>
            <w:pPr>
              <w:spacing w:line="240" w:lineRule="atLeast"/>
              <w:jc w:val="center"/>
              <w:rPr>
                <w:rFonts w:hint="eastAsia" w:ascii="仿宋" w:hAnsi="仿宋" w:eastAsia="仿宋"/>
                <w:sz w:val="21"/>
                <w:szCs w:val="21"/>
              </w:rPr>
            </w:pPr>
          </w:p>
        </w:tc>
        <w:tc>
          <w:tcPr>
            <w:tcW w:w="1134" w:type="dxa"/>
            <w:noWrap w:val="0"/>
            <w:vAlign w:val="center"/>
          </w:tcPr>
          <w:p>
            <w:pPr>
              <w:spacing w:line="240" w:lineRule="atLeast"/>
              <w:jc w:val="center"/>
              <w:rPr>
                <w:rFonts w:hint="eastAsia" w:ascii="仿宋" w:hAnsi="仿宋" w:eastAsia="仿宋"/>
                <w:sz w:val="21"/>
                <w:szCs w:val="21"/>
              </w:rPr>
            </w:pPr>
          </w:p>
        </w:tc>
        <w:tc>
          <w:tcPr>
            <w:tcW w:w="1559" w:type="dxa"/>
            <w:noWrap w:val="0"/>
            <w:vAlign w:val="center"/>
          </w:tcPr>
          <w:p>
            <w:pPr>
              <w:spacing w:line="240" w:lineRule="atLeast"/>
              <w:jc w:val="center"/>
              <w:rPr>
                <w:rFonts w:hint="eastAsia" w:ascii="仿宋" w:hAnsi="仿宋" w:eastAsia="仿宋"/>
                <w:sz w:val="21"/>
                <w:szCs w:val="21"/>
              </w:rPr>
            </w:pPr>
          </w:p>
        </w:tc>
        <w:tc>
          <w:tcPr>
            <w:tcW w:w="1567" w:type="dxa"/>
            <w:noWrap w:val="0"/>
            <w:vAlign w:val="center"/>
          </w:tcPr>
          <w:p>
            <w:pPr>
              <w:spacing w:line="24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一、质量要求和技术标准。供方提供的商品必须是全新的，完全符合国家有关技术标准，供方的质量保证及售后服务承诺如下：</w:t>
            </w:r>
          </w:p>
          <w:p>
            <w:pPr>
              <w:spacing w:line="240" w:lineRule="atLeast"/>
              <w:rPr>
                <w:rFonts w:hint="eastAsia" w:ascii="仿宋" w:hAnsi="仿宋" w:eastAsia="仿宋"/>
                <w:sz w:val="21"/>
                <w:szCs w:val="21"/>
              </w:rPr>
            </w:pPr>
            <w:r>
              <w:rPr>
                <w:rFonts w:hint="eastAsia" w:ascii="仿宋" w:hAnsi="仿宋" w:eastAsia="仿宋"/>
                <w:sz w:val="21"/>
                <w:szCs w:val="21"/>
              </w:rPr>
              <w:t>1、质保期限：</w:t>
            </w:r>
          </w:p>
          <w:p>
            <w:pPr>
              <w:spacing w:line="240" w:lineRule="atLeast"/>
              <w:rPr>
                <w:rFonts w:hint="eastAsia" w:ascii="仿宋" w:hAnsi="仿宋" w:eastAsia="仿宋"/>
                <w:sz w:val="21"/>
                <w:szCs w:val="21"/>
              </w:rPr>
            </w:pPr>
            <w:r>
              <w:rPr>
                <w:rFonts w:hint="eastAsia" w:ascii="仿宋" w:hAnsi="仿宋" w:eastAsia="仿宋"/>
                <w:sz w:val="21"/>
                <w:szCs w:val="21"/>
              </w:rPr>
              <w:t>2、保修范围：</w:t>
            </w:r>
          </w:p>
          <w:p>
            <w:pPr>
              <w:spacing w:line="240" w:lineRule="atLeast"/>
              <w:rPr>
                <w:rFonts w:hint="eastAsia" w:ascii="仿宋" w:hAnsi="仿宋" w:eastAsia="仿宋"/>
                <w:sz w:val="21"/>
                <w:szCs w:val="21"/>
              </w:rPr>
            </w:pPr>
            <w:r>
              <w:rPr>
                <w:rFonts w:hint="eastAsia" w:ascii="仿宋" w:hAnsi="仿宋" w:eastAsia="仿宋"/>
                <w:sz w:val="21"/>
                <w:szCs w:val="21"/>
              </w:rPr>
              <w:t>3、服务措施：</w:t>
            </w:r>
          </w:p>
          <w:p>
            <w:pPr>
              <w:spacing w:line="240" w:lineRule="atLeast"/>
              <w:rPr>
                <w:rFonts w:hint="eastAsia" w:ascii="仿宋" w:hAnsi="仿宋" w:eastAsia="仿宋"/>
                <w:sz w:val="21"/>
                <w:szCs w:val="21"/>
              </w:rPr>
            </w:pPr>
            <w:r>
              <w:rPr>
                <w:rFonts w:hint="eastAsia" w:ascii="仿宋" w:hAnsi="仿宋"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四、验收标准、方法：</w:t>
            </w:r>
          </w:p>
          <w:p>
            <w:pPr>
              <w:spacing w:line="240" w:lineRule="atLeast"/>
              <w:rPr>
                <w:rFonts w:hint="eastAsia" w:ascii="仿宋" w:hAnsi="仿宋" w:eastAsia="仿宋"/>
                <w:sz w:val="21"/>
                <w:szCs w:val="21"/>
              </w:rPr>
            </w:pPr>
            <w:r>
              <w:rPr>
                <w:rFonts w:hint="eastAsia" w:ascii="仿宋" w:hAnsi="仿宋" w:eastAsia="仿宋"/>
                <w:sz w:val="21"/>
                <w:szCs w:val="21"/>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五、付款方式：</w:t>
            </w:r>
          </w:p>
          <w:p>
            <w:pPr>
              <w:pStyle w:val="32"/>
              <w:spacing w:line="240" w:lineRule="atLeast"/>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六、违约责任：</w:t>
            </w:r>
          </w:p>
          <w:p>
            <w:pPr>
              <w:spacing w:line="240" w:lineRule="atLeast"/>
              <w:rPr>
                <w:rFonts w:hint="eastAsia" w:ascii="仿宋" w:hAnsi="仿宋" w:eastAsia="仿宋"/>
                <w:sz w:val="21"/>
                <w:szCs w:val="21"/>
              </w:rPr>
            </w:pPr>
            <w:r>
              <w:rPr>
                <w:rFonts w:hint="eastAsia" w:ascii="仿宋" w:hAnsi="仿宋" w:eastAsia="仿宋"/>
                <w:sz w:val="21"/>
                <w:szCs w:val="21"/>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七、其他约定事项：</w:t>
            </w:r>
          </w:p>
          <w:p>
            <w:pPr>
              <w:spacing w:line="240" w:lineRule="atLeast"/>
              <w:rPr>
                <w:rFonts w:hint="eastAsia" w:ascii="仿宋" w:hAnsi="仿宋" w:eastAsia="仿宋"/>
                <w:sz w:val="21"/>
                <w:szCs w:val="21"/>
              </w:rPr>
            </w:pPr>
            <w:r>
              <w:rPr>
                <w:rFonts w:hint="eastAsia" w:ascii="仿宋" w:hAnsi="仿宋" w:eastAsia="仿宋"/>
                <w:sz w:val="21"/>
                <w:szCs w:val="21"/>
              </w:rPr>
              <w:t>1.招标文件及其补遗文件、投标文件和承诺是本合同不可分割的部分。</w:t>
            </w:r>
          </w:p>
          <w:p>
            <w:pPr>
              <w:spacing w:line="240" w:lineRule="atLeast"/>
              <w:rPr>
                <w:rFonts w:hint="eastAsia" w:ascii="仿宋" w:hAnsi="仿宋" w:eastAsia="仿宋"/>
                <w:sz w:val="21"/>
                <w:szCs w:val="21"/>
              </w:rPr>
            </w:pPr>
            <w:r>
              <w:rPr>
                <w:rFonts w:hint="eastAsia" w:ascii="仿宋" w:hAnsi="仿宋" w:eastAsia="仿宋"/>
                <w:sz w:val="21"/>
                <w:szCs w:val="21"/>
              </w:rPr>
              <w:t>2.本合同如发生争议由双方协商解决，协商不成向需方所在人民法院提请诉讼。</w:t>
            </w:r>
          </w:p>
          <w:p>
            <w:pPr>
              <w:spacing w:line="240" w:lineRule="atLeast"/>
              <w:rPr>
                <w:rFonts w:hint="eastAsia" w:ascii="仿宋" w:hAnsi="仿宋" w:eastAsia="仿宋"/>
                <w:sz w:val="21"/>
                <w:szCs w:val="21"/>
              </w:rPr>
            </w:pPr>
            <w:r>
              <w:rPr>
                <w:rFonts w:hint="eastAsia" w:ascii="仿宋" w:hAnsi="仿宋" w:eastAsia="仿宋"/>
                <w:sz w:val="21"/>
                <w:szCs w:val="21"/>
              </w:rPr>
              <w:t>3.本合同一式__份， 需方__份，供方__份，区交易中心</w:t>
            </w:r>
            <w:r>
              <w:rPr>
                <w:rFonts w:hint="eastAsia" w:ascii="仿宋" w:hAnsi="仿宋" w:eastAsia="仿宋"/>
                <w:sz w:val="21"/>
                <w:szCs w:val="21"/>
                <w:u w:val="single"/>
              </w:rPr>
              <w:t>1</w:t>
            </w:r>
            <w:r>
              <w:rPr>
                <w:rFonts w:hint="eastAsia" w:ascii="仿宋" w:hAnsi="仿宋" w:eastAsia="仿宋"/>
                <w:sz w:val="21"/>
                <w:szCs w:val="21"/>
              </w:rPr>
              <w:t>份，区财政部门</w:t>
            </w:r>
            <w:r>
              <w:rPr>
                <w:rFonts w:hint="eastAsia" w:ascii="仿宋" w:hAnsi="仿宋" w:eastAsia="仿宋"/>
                <w:sz w:val="21"/>
                <w:szCs w:val="21"/>
                <w:u w:val="single"/>
              </w:rPr>
              <w:t>1</w:t>
            </w:r>
            <w:r>
              <w:rPr>
                <w:rFonts w:hint="eastAsia" w:ascii="仿宋" w:hAnsi="仿宋" w:eastAsia="仿宋"/>
                <w:sz w:val="21"/>
                <w:szCs w:val="21"/>
              </w:rPr>
              <w:t>份，具备同等法律效力。</w:t>
            </w:r>
          </w:p>
          <w:p>
            <w:pPr>
              <w:spacing w:line="240" w:lineRule="atLeast"/>
              <w:rPr>
                <w:rFonts w:hint="eastAsia" w:ascii="仿宋" w:hAnsi="仿宋" w:eastAsia="仿宋"/>
                <w:sz w:val="21"/>
                <w:szCs w:val="21"/>
              </w:rPr>
            </w:pPr>
            <w:r>
              <w:rPr>
                <w:rFonts w:hint="eastAsia" w:ascii="仿宋" w:hAnsi="仿宋" w:eastAsia="仿宋"/>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需方：</w:t>
            </w:r>
          </w:p>
          <w:p>
            <w:pPr>
              <w:spacing w:line="240" w:lineRule="atLeast"/>
              <w:rPr>
                <w:rFonts w:hint="eastAsia" w:ascii="仿宋" w:hAnsi="仿宋" w:eastAsia="仿宋"/>
                <w:sz w:val="21"/>
                <w:szCs w:val="21"/>
              </w:rPr>
            </w:pPr>
            <w:r>
              <w:rPr>
                <w:rFonts w:hint="eastAsia" w:ascii="仿宋" w:hAnsi="仿宋" w:eastAsia="仿宋"/>
                <w:sz w:val="21"/>
                <w:szCs w:val="21"/>
              </w:rPr>
              <w:t>地址：</w:t>
            </w:r>
          </w:p>
          <w:p>
            <w:pPr>
              <w:spacing w:line="240" w:lineRule="atLeast"/>
              <w:rPr>
                <w:rFonts w:hint="eastAsia" w:ascii="仿宋" w:hAnsi="仿宋" w:eastAsia="仿宋"/>
                <w:sz w:val="21"/>
                <w:szCs w:val="21"/>
              </w:rPr>
            </w:pPr>
            <w:r>
              <w:rPr>
                <w:rFonts w:hint="eastAsia" w:ascii="仿宋" w:hAnsi="仿宋" w:eastAsia="仿宋"/>
                <w:sz w:val="21"/>
                <w:szCs w:val="21"/>
              </w:rPr>
              <w:t>联系电话：</w:t>
            </w:r>
          </w:p>
          <w:p>
            <w:pPr>
              <w:spacing w:line="240" w:lineRule="atLeast"/>
              <w:rPr>
                <w:rFonts w:hint="eastAsia" w:ascii="仿宋" w:hAnsi="仿宋" w:eastAsia="仿宋"/>
                <w:sz w:val="21"/>
                <w:szCs w:val="21"/>
              </w:rPr>
            </w:pPr>
            <w:r>
              <w:rPr>
                <w:rFonts w:hint="eastAsia" w:ascii="仿宋" w:hAnsi="仿宋" w:eastAsia="仿宋"/>
                <w:sz w:val="21"/>
                <w:szCs w:val="21"/>
              </w:rPr>
              <w:t>授权代表：</w:t>
            </w:r>
          </w:p>
        </w:tc>
        <w:tc>
          <w:tcPr>
            <w:tcW w:w="5267" w:type="dxa"/>
            <w:gridSpan w:val="5"/>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供方：</w:t>
            </w:r>
          </w:p>
          <w:p>
            <w:pPr>
              <w:spacing w:line="240" w:lineRule="atLeast"/>
              <w:rPr>
                <w:rFonts w:hint="eastAsia" w:ascii="仿宋" w:hAnsi="仿宋" w:eastAsia="仿宋"/>
                <w:sz w:val="21"/>
                <w:szCs w:val="21"/>
              </w:rPr>
            </w:pPr>
            <w:r>
              <w:rPr>
                <w:rFonts w:hint="eastAsia" w:ascii="仿宋" w:hAnsi="仿宋" w:eastAsia="仿宋"/>
                <w:sz w:val="21"/>
                <w:szCs w:val="21"/>
              </w:rPr>
              <w:t>地址：</w:t>
            </w:r>
          </w:p>
          <w:p>
            <w:pPr>
              <w:spacing w:line="240" w:lineRule="atLeast"/>
              <w:rPr>
                <w:rFonts w:hint="eastAsia" w:ascii="仿宋" w:hAnsi="仿宋" w:eastAsia="仿宋"/>
                <w:sz w:val="21"/>
                <w:szCs w:val="21"/>
              </w:rPr>
            </w:pPr>
            <w:r>
              <w:rPr>
                <w:rFonts w:hint="eastAsia" w:ascii="仿宋" w:hAnsi="仿宋" w:eastAsia="仿宋"/>
                <w:sz w:val="21"/>
                <w:szCs w:val="21"/>
              </w:rPr>
              <w:t>电话：</w:t>
            </w:r>
          </w:p>
          <w:p>
            <w:pPr>
              <w:spacing w:line="240" w:lineRule="atLeast"/>
              <w:rPr>
                <w:rFonts w:hint="eastAsia" w:ascii="仿宋" w:hAnsi="仿宋" w:eastAsia="仿宋"/>
                <w:sz w:val="21"/>
                <w:szCs w:val="21"/>
              </w:rPr>
            </w:pPr>
            <w:r>
              <w:rPr>
                <w:rFonts w:hint="eastAsia" w:ascii="仿宋" w:hAnsi="仿宋" w:eastAsia="仿宋"/>
                <w:sz w:val="21"/>
                <w:szCs w:val="21"/>
              </w:rPr>
              <w:t>传真：</w:t>
            </w:r>
          </w:p>
          <w:p>
            <w:pPr>
              <w:spacing w:line="240" w:lineRule="atLeast"/>
              <w:rPr>
                <w:rFonts w:hint="eastAsia" w:ascii="仿宋" w:hAnsi="仿宋" w:eastAsia="仿宋"/>
                <w:sz w:val="21"/>
                <w:szCs w:val="21"/>
              </w:rPr>
            </w:pPr>
            <w:r>
              <w:rPr>
                <w:rFonts w:hint="eastAsia" w:ascii="仿宋" w:hAnsi="仿宋" w:eastAsia="仿宋"/>
                <w:sz w:val="21"/>
                <w:szCs w:val="21"/>
              </w:rPr>
              <w:t>开户银行：</w:t>
            </w:r>
          </w:p>
          <w:p>
            <w:pPr>
              <w:spacing w:line="240" w:lineRule="atLeast"/>
              <w:rPr>
                <w:rFonts w:hint="eastAsia" w:ascii="仿宋" w:hAnsi="仿宋" w:eastAsia="仿宋"/>
                <w:sz w:val="21"/>
                <w:szCs w:val="21"/>
              </w:rPr>
            </w:pPr>
            <w:r>
              <w:rPr>
                <w:rFonts w:hint="eastAsia" w:ascii="仿宋" w:hAnsi="仿宋" w:eastAsia="仿宋"/>
                <w:sz w:val="21"/>
                <w:szCs w:val="21"/>
              </w:rPr>
              <w:t>账号：</w:t>
            </w:r>
          </w:p>
          <w:p>
            <w:pPr>
              <w:spacing w:line="240" w:lineRule="atLeast"/>
              <w:rPr>
                <w:rFonts w:hint="eastAsia" w:ascii="仿宋" w:hAnsi="仿宋" w:eastAsia="仿宋"/>
                <w:sz w:val="21"/>
                <w:szCs w:val="21"/>
              </w:rPr>
            </w:pPr>
            <w:r>
              <w:rPr>
                <w:rFonts w:hint="eastAsia" w:ascii="仿宋" w:hAnsi="仿宋" w:eastAsia="仿宋"/>
                <w:sz w:val="21"/>
                <w:szCs w:val="21"/>
              </w:rPr>
              <w:t>授权代表：</w:t>
            </w:r>
          </w:p>
          <w:p>
            <w:pPr>
              <w:spacing w:line="240" w:lineRule="atLeast"/>
              <w:rPr>
                <w:rFonts w:ascii="仿宋" w:hAnsi="仿宋" w:eastAsia="仿宋"/>
                <w:sz w:val="21"/>
                <w:szCs w:val="21"/>
              </w:rPr>
            </w:pPr>
            <w:r>
              <w:rPr>
                <w:rFonts w:hint="eastAsia" w:ascii="仿宋" w:hAnsi="仿宋" w:eastAsia="仿宋"/>
                <w:sz w:val="21"/>
                <w:szCs w:val="21"/>
              </w:rPr>
              <w:t>（本栏请用计算机打印以便于准确付款）</w:t>
            </w:r>
          </w:p>
          <w:p>
            <w:pPr>
              <w:widowControl/>
              <w:spacing w:line="240" w:lineRule="atLeast"/>
              <w:jc w:val="left"/>
              <w:rPr>
                <w:rFonts w:hint="eastAsia" w:ascii="仿宋" w:hAnsi="仿宋" w:eastAsia="仿宋"/>
                <w:sz w:val="21"/>
                <w:szCs w:val="21"/>
              </w:rPr>
            </w:pPr>
          </w:p>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pPr>
              <w:spacing w:line="240" w:lineRule="atLeast"/>
              <w:rPr>
                <w:rFonts w:hint="eastAsia" w:ascii="仿宋" w:hAnsi="仿宋" w:eastAsia="仿宋"/>
                <w:sz w:val="21"/>
                <w:szCs w:val="21"/>
              </w:rPr>
            </w:pPr>
            <w:r>
              <w:rPr>
                <w:rFonts w:hint="eastAsia" w:ascii="仿宋" w:hAnsi="仿宋" w:eastAsia="仿宋"/>
                <w:sz w:val="21"/>
                <w:szCs w:val="21"/>
              </w:rPr>
              <w:t>备注：</w:t>
            </w:r>
          </w:p>
          <w:p>
            <w:pPr>
              <w:spacing w:line="240" w:lineRule="atLeast"/>
              <w:rPr>
                <w:rFonts w:hint="eastAsia" w:ascii="仿宋" w:hAnsi="仿宋" w:eastAsia="仿宋"/>
                <w:sz w:val="21"/>
                <w:szCs w:val="21"/>
              </w:rPr>
            </w:pPr>
          </w:p>
          <w:p>
            <w:pPr>
              <w:spacing w:line="240" w:lineRule="atLeast"/>
              <w:rPr>
                <w:rFonts w:hint="eastAsia" w:ascii="仿宋" w:hAnsi="仿宋" w:eastAsia="仿宋"/>
                <w:sz w:val="21"/>
                <w:szCs w:val="21"/>
              </w:rPr>
            </w:pPr>
          </w:p>
        </w:tc>
      </w:tr>
    </w:tbl>
    <w:p>
      <w:pPr>
        <w:spacing w:line="500" w:lineRule="exact"/>
        <w:ind w:firstLine="480" w:firstLineChars="200"/>
        <w:rPr>
          <w:rFonts w:hint="eastAsia" w:ascii="仿宋" w:hAnsi="仿宋" w:eastAsia="仿宋"/>
          <w:sz w:val="24"/>
        </w:rPr>
      </w:pPr>
      <w:r>
        <w:rPr>
          <w:rFonts w:hint="eastAsia" w:ascii="仿宋" w:hAnsi="仿宋" w:eastAsia="仿宋"/>
          <w:sz w:val="24"/>
        </w:rPr>
        <w:t>签约时间：           年   月   日      签约地点：</w:t>
      </w:r>
    </w:p>
    <w:p>
      <w:pPr>
        <w:spacing w:line="500" w:lineRule="exact"/>
        <w:ind w:firstLine="560" w:firstLineChars="200"/>
        <w:rPr>
          <w:rFonts w:hint="eastAsia" w:ascii="仿宋" w:hAnsi="仿宋" w:eastAsia="仿宋"/>
        </w:rPr>
        <w:sectPr>
          <w:headerReference r:id="rId13" w:type="default"/>
          <w:pgSz w:w="11907" w:h="16840"/>
          <w:pgMar w:top="1134" w:right="1191" w:bottom="1134" w:left="1304" w:header="964" w:footer="992" w:gutter="0"/>
          <w:pgNumType w:fmt="numberInDash"/>
          <w:cols w:space="720" w:num="1"/>
          <w:docGrid w:linePitch="312" w:charSpace="0"/>
        </w:sectPr>
      </w:pPr>
    </w:p>
    <w:p>
      <w:pPr>
        <w:pStyle w:val="3"/>
        <w:spacing w:before="0" w:beforeLines="0" w:after="0" w:afterLines="0" w:line="360" w:lineRule="auto"/>
        <w:rPr>
          <w:rFonts w:hint="eastAsia" w:ascii="仿宋" w:hAnsi="仿宋" w:eastAsia="仿宋"/>
          <w:b/>
        </w:rPr>
      </w:pPr>
      <w:bookmarkStart w:id="55" w:name="_Toc32548"/>
      <w:r>
        <w:rPr>
          <w:rFonts w:hint="eastAsia" w:ascii="仿宋" w:hAnsi="仿宋" w:eastAsia="仿宋"/>
          <w:b/>
        </w:rPr>
        <w:t>第七篇  投标文件格式</w:t>
      </w:r>
      <w:bookmarkEnd w:id="55"/>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一、经济文件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（一）开标一览表</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（二）明细报价表</w:t>
      </w:r>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二、技术文件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（一）所投各产品的技术参数（或技术指标）</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（二）技术条款差异表</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（三）其他技术资料（自拟，按照第二篇、第四篇的要求拟定）</w:t>
      </w:r>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三、商务文件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（一）投标函（格式）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（二）商务条款差异表</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（三）其他商务资料（自拟，按照第三篇、第四篇的要求拟定）</w:t>
      </w:r>
    </w:p>
    <w:p>
      <w:pPr>
        <w:tabs>
          <w:tab w:val="left" w:pos="1764"/>
        </w:tabs>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四、其他</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（一）其他与项目有关的资料（自附）</w:t>
      </w:r>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五、资格文件（单独装订）</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（一）营业执照（副本）或事业单位法人证书（副本）复印件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（二）组织机构代码证复印件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（三）法定代表人身份证明书（格式）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（四）法定代表人授权委托书（格式）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（五）书面声明（格式）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（六）税务登记证（副本）复印件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（八）特定资格条件证书或证明文件</w:t>
      </w:r>
    </w:p>
    <w:p>
      <w:pPr>
        <w:pStyle w:val="4"/>
        <w:pageBreakBefore/>
        <w:spacing w:line="500" w:lineRule="exact"/>
        <w:rPr>
          <w:rFonts w:hint="eastAsia" w:ascii="仿宋" w:hAnsi="仿宋" w:eastAsia="仿宋"/>
          <w:b/>
          <w:szCs w:val="28"/>
        </w:rPr>
      </w:pPr>
      <w:bookmarkStart w:id="56" w:name="_Toc492721037"/>
      <w:bookmarkStart w:id="57" w:name="_Toc429584884"/>
      <w:bookmarkStart w:id="58" w:name="_Toc17998"/>
      <w:r>
        <w:rPr>
          <w:rFonts w:hint="eastAsia" w:ascii="仿宋" w:hAnsi="仿宋" w:eastAsia="仿宋"/>
          <w:b/>
          <w:szCs w:val="28"/>
        </w:rPr>
        <w:t>一、经济文件</w:t>
      </w:r>
      <w:bookmarkEnd w:id="56"/>
      <w:bookmarkEnd w:id="57"/>
      <w:bookmarkEnd w:id="58"/>
    </w:p>
    <w:p>
      <w:pPr>
        <w:snapToGrid w:val="0"/>
        <w:spacing w:line="500" w:lineRule="exact"/>
        <w:jc w:val="center"/>
        <w:rPr>
          <w:rFonts w:hint="eastAsia" w:ascii="仿宋" w:hAnsi="仿宋" w:eastAsia="仿宋"/>
          <w:szCs w:val="36"/>
        </w:rPr>
      </w:pPr>
      <w:r>
        <w:rPr>
          <w:rFonts w:hint="eastAsia" w:ascii="仿宋" w:hAnsi="仿宋" w:eastAsia="仿宋"/>
          <w:szCs w:val="36"/>
        </w:rPr>
        <w:t>（一）开标一览表</w:t>
      </w:r>
    </w:p>
    <w:p>
      <w:pPr>
        <w:spacing w:line="500" w:lineRule="exact"/>
        <w:ind w:firstLine="240" w:firstLineChars="100"/>
        <w:rPr>
          <w:rFonts w:hint="eastAsia" w:ascii="仿宋" w:hAnsi="仿宋" w:eastAsia="仿宋"/>
          <w:sz w:val="24"/>
          <w:szCs w:val="28"/>
        </w:rPr>
      </w:pPr>
      <w:r>
        <w:rPr>
          <w:rFonts w:hint="eastAsia" w:ascii="仿宋" w:hAnsi="仿宋" w:eastAsia="仿宋"/>
          <w:sz w:val="24"/>
          <w:szCs w:val="28"/>
        </w:rPr>
        <w:t>招标项目名称：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701"/>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投标人名称</w:t>
            </w:r>
          </w:p>
        </w:tc>
        <w:tc>
          <w:tcPr>
            <w:tcW w:w="7840" w:type="dxa"/>
            <w:gridSpan w:val="3"/>
            <w:noWrap w:val="0"/>
            <w:vAlign w:val="center"/>
          </w:tcPr>
          <w:p>
            <w:pPr>
              <w:spacing w:line="500" w:lineRule="exact"/>
              <w:jc w:val="center"/>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分包号</w:t>
            </w:r>
          </w:p>
        </w:tc>
        <w:tc>
          <w:tcPr>
            <w:tcW w:w="214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分包名称</w:t>
            </w:r>
          </w:p>
        </w:tc>
        <w:tc>
          <w:tcPr>
            <w:tcW w:w="1701"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数量</w:t>
            </w:r>
          </w:p>
        </w:tc>
        <w:tc>
          <w:tcPr>
            <w:tcW w:w="3991"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仿宋" w:hAnsi="仿宋" w:eastAsia="仿宋"/>
                <w:sz w:val="21"/>
                <w:szCs w:val="28"/>
              </w:rPr>
            </w:pPr>
          </w:p>
        </w:tc>
        <w:tc>
          <w:tcPr>
            <w:tcW w:w="2148" w:type="dxa"/>
            <w:tcBorders>
              <w:bottom w:val="single" w:color="auto" w:sz="4" w:space="0"/>
            </w:tcBorders>
            <w:noWrap w:val="0"/>
            <w:vAlign w:val="top"/>
          </w:tcPr>
          <w:p>
            <w:pPr>
              <w:spacing w:line="500" w:lineRule="exact"/>
              <w:rPr>
                <w:rFonts w:hint="eastAsia" w:ascii="仿宋" w:hAnsi="仿宋" w:eastAsia="仿宋"/>
                <w:sz w:val="21"/>
                <w:szCs w:val="28"/>
              </w:rPr>
            </w:pPr>
          </w:p>
        </w:tc>
        <w:tc>
          <w:tcPr>
            <w:tcW w:w="1701" w:type="dxa"/>
            <w:tcBorders>
              <w:bottom w:val="single" w:color="auto" w:sz="4" w:space="0"/>
            </w:tcBorders>
            <w:noWrap w:val="0"/>
            <w:vAlign w:val="top"/>
          </w:tcPr>
          <w:p>
            <w:pPr>
              <w:spacing w:line="500" w:lineRule="exact"/>
              <w:rPr>
                <w:rFonts w:hint="eastAsia" w:ascii="仿宋" w:hAnsi="仿宋" w:eastAsia="仿宋"/>
                <w:sz w:val="21"/>
                <w:szCs w:val="28"/>
              </w:rPr>
            </w:pPr>
          </w:p>
        </w:tc>
        <w:tc>
          <w:tcPr>
            <w:tcW w:w="3991" w:type="dxa"/>
            <w:tcBorders>
              <w:bottom w:val="single" w:color="auto" w:sz="4" w:space="0"/>
            </w:tcBorders>
            <w:noWrap w:val="0"/>
            <w:vAlign w:val="top"/>
          </w:tcPr>
          <w:p>
            <w:pPr>
              <w:spacing w:line="500" w:lineRule="exact"/>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pPr>
              <w:spacing w:line="560" w:lineRule="exact"/>
              <w:rPr>
                <w:rFonts w:hint="eastAsia" w:ascii="仿宋" w:hAnsi="仿宋" w:eastAsia="仿宋"/>
                <w:sz w:val="21"/>
                <w:szCs w:val="28"/>
              </w:rPr>
            </w:pPr>
            <w:r>
              <w:rPr>
                <w:rFonts w:hint="eastAsia" w:ascii="仿宋" w:hAnsi="仿宋" w:eastAsia="仿宋"/>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pPr>
              <w:pStyle w:val="32"/>
              <w:spacing w:line="500" w:lineRule="exact"/>
              <w:rPr>
                <w:rFonts w:hint="eastAsia" w:ascii="仿宋" w:hAnsi="仿宋" w:eastAsia="仿宋"/>
                <w:sz w:val="21"/>
                <w:szCs w:val="28"/>
                <w:lang w:val="en-US" w:eastAsia="zh-CN"/>
              </w:rPr>
            </w:pPr>
            <w:r>
              <w:rPr>
                <w:rFonts w:hint="eastAsia" w:ascii="仿宋" w:hAnsi="仿宋" w:eastAsia="仿宋"/>
                <w:sz w:val="21"/>
                <w:szCs w:val="28"/>
                <w:lang w:val="en-US" w:eastAsia="zh-CN"/>
              </w:rPr>
              <w:t xml:space="preserve">备注： </w:t>
            </w:r>
          </w:p>
        </w:tc>
      </w:tr>
    </w:tbl>
    <w:p>
      <w:pPr>
        <w:pStyle w:val="32"/>
        <w:spacing w:line="500" w:lineRule="exact"/>
        <w:rPr>
          <w:rFonts w:hint="eastAsia" w:ascii="仿宋" w:hAnsi="仿宋" w:eastAsia="仿宋"/>
          <w:sz w:val="24"/>
          <w:szCs w:val="28"/>
        </w:rPr>
      </w:pPr>
    </w:p>
    <w:p>
      <w:pPr>
        <w:rPr>
          <w:rFonts w:hint="eastAsia" w:ascii="仿宋" w:hAnsi="仿宋" w:eastAsia="仿宋"/>
        </w:rPr>
      </w:pP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说明：</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1.开标一览表按格式填列；</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2.开标一览表在开标大会上当众宣读，务必填写清楚，准确无误；</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3.若以联合体参与投标的，应在“投标人名称”处注明所有联合体名称。“投标人”处至少应加盖联合体主办方（主体）公章。</w:t>
      </w:r>
    </w:p>
    <w:p>
      <w:pPr>
        <w:snapToGrid w:val="0"/>
        <w:spacing w:line="500" w:lineRule="exact"/>
        <w:rPr>
          <w:rFonts w:hint="eastAsia" w:ascii="仿宋" w:hAnsi="仿宋" w:eastAsia="仿宋"/>
          <w:szCs w:val="36"/>
        </w:rPr>
      </w:pPr>
      <w:r>
        <w:rPr>
          <w:rFonts w:hint="eastAsia" w:ascii="仿宋" w:hAnsi="仿宋" w:eastAsia="仿宋"/>
          <w:szCs w:val="28"/>
        </w:rPr>
        <w:br w:type="page"/>
      </w:r>
      <w:r>
        <w:rPr>
          <w:rFonts w:hint="eastAsia" w:ascii="仿宋" w:hAnsi="仿宋" w:eastAsia="仿宋"/>
          <w:szCs w:val="36"/>
        </w:rPr>
        <w:t>（二）明细报价表</w:t>
      </w:r>
    </w:p>
    <w:p>
      <w:pPr>
        <w:snapToGrid w:val="0"/>
        <w:spacing w:line="500" w:lineRule="exact"/>
        <w:jc w:val="center"/>
        <w:rPr>
          <w:rFonts w:hint="eastAsia" w:ascii="仿宋" w:hAnsi="仿宋" w:eastAsia="仿宋"/>
          <w:szCs w:val="36"/>
        </w:rPr>
      </w:pPr>
      <w:r>
        <w:rPr>
          <w:rFonts w:hint="eastAsia" w:ascii="仿宋" w:hAnsi="仿宋" w:eastAsia="仿宋"/>
          <w:szCs w:val="36"/>
        </w:rPr>
        <w:t>明细报价表</w:t>
      </w:r>
    </w:p>
    <w:p>
      <w:pPr>
        <w:spacing w:line="360" w:lineRule="auto"/>
        <w:rPr>
          <w:rFonts w:hint="eastAsia" w:ascii="方正仿宋_GBK" w:hAnsi="宋体" w:eastAsia="方正仿宋_GBK"/>
          <w:sz w:val="24"/>
          <w:szCs w:val="24"/>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项目名称：                                         </w:t>
      </w:r>
    </w:p>
    <w:tbl>
      <w:tblPr>
        <w:tblStyle w:val="57"/>
        <w:tblW w:w="10409" w:type="dxa"/>
        <w:jc w:val="center"/>
        <w:tblLayout w:type="fixed"/>
        <w:tblCellMar>
          <w:top w:w="0" w:type="dxa"/>
          <w:left w:w="108" w:type="dxa"/>
          <w:bottom w:w="0" w:type="dxa"/>
          <w:right w:w="108" w:type="dxa"/>
        </w:tblCellMar>
      </w:tblPr>
      <w:tblGrid>
        <w:gridCol w:w="821"/>
        <w:gridCol w:w="1211"/>
        <w:gridCol w:w="4262"/>
        <w:gridCol w:w="983"/>
        <w:gridCol w:w="992"/>
        <w:gridCol w:w="993"/>
        <w:gridCol w:w="1147"/>
      </w:tblGrid>
      <w:tr>
        <w:tblPrEx>
          <w:tblCellMar>
            <w:top w:w="0" w:type="dxa"/>
            <w:left w:w="108" w:type="dxa"/>
            <w:bottom w:w="0" w:type="dxa"/>
            <w:right w:w="108" w:type="dxa"/>
          </w:tblCellMar>
        </w:tblPrEx>
        <w:trPr>
          <w:trHeight w:val="46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序号</w:t>
            </w:r>
          </w:p>
        </w:tc>
        <w:tc>
          <w:tcPr>
            <w:tcW w:w="1211"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服务名称</w:t>
            </w:r>
          </w:p>
        </w:tc>
        <w:tc>
          <w:tcPr>
            <w:tcW w:w="4262" w:type="dxa"/>
            <w:tcBorders>
              <w:top w:val="single" w:color="auto" w:sz="4" w:space="0"/>
              <w:left w:val="nil"/>
              <w:bottom w:val="single" w:color="auto" w:sz="4" w:space="0"/>
              <w:right w:val="single" w:color="auto" w:sz="4" w:space="0"/>
            </w:tcBorders>
            <w:noWrap w:val="0"/>
            <w:vAlign w:val="center"/>
          </w:tcPr>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服务内容等</w:t>
            </w:r>
          </w:p>
        </w:tc>
        <w:tc>
          <w:tcPr>
            <w:tcW w:w="983"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单位</w:t>
            </w:r>
          </w:p>
        </w:tc>
        <w:tc>
          <w:tcPr>
            <w:tcW w:w="992"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数量</w:t>
            </w:r>
          </w:p>
        </w:tc>
        <w:tc>
          <w:tcPr>
            <w:tcW w:w="993"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单价</w:t>
            </w:r>
          </w:p>
        </w:tc>
        <w:tc>
          <w:tcPr>
            <w:tcW w:w="1147"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sz w:val="24"/>
                <w:szCs w:val="28"/>
              </w:rPr>
            </w:pPr>
            <w:r>
              <w:rPr>
                <w:rFonts w:hint="eastAsia" w:ascii="仿宋" w:hAnsi="仿宋" w:eastAsia="仿宋"/>
                <w:sz w:val="24"/>
                <w:szCs w:val="28"/>
              </w:rPr>
              <w:t>总价</w:t>
            </w: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r>
        <w:tblPrEx>
          <w:tblCellMar>
            <w:top w:w="0" w:type="dxa"/>
            <w:left w:w="108" w:type="dxa"/>
            <w:bottom w:w="0" w:type="dxa"/>
            <w:right w:w="108" w:type="dxa"/>
          </w:tblCellMar>
        </w:tblPrEx>
        <w:trPr>
          <w:trHeight w:val="519"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1211"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426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83"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500" w:lineRule="exact"/>
              <w:ind w:firstLine="480" w:firstLineChars="200"/>
              <w:rPr>
                <w:rFonts w:hint="eastAsia" w:ascii="仿宋" w:hAnsi="仿宋" w:eastAsia="仿宋"/>
                <w:sz w:val="24"/>
                <w:szCs w:val="28"/>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c>
          <w:tcPr>
            <w:tcW w:w="1147"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500" w:lineRule="exact"/>
              <w:ind w:firstLine="480" w:firstLineChars="200"/>
              <w:rPr>
                <w:rFonts w:hint="eastAsia" w:ascii="仿宋" w:hAnsi="仿宋" w:eastAsia="仿宋"/>
                <w:sz w:val="24"/>
                <w:szCs w:val="28"/>
              </w:rPr>
            </w:pPr>
          </w:p>
        </w:tc>
      </w:tr>
    </w:tbl>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注：1、请供应商完整填写本表。</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2、该表可扩展，并逐页签字或盖章。</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3、该表可根据项目实际情况调整。</w:t>
      </w: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w:t>
      </w: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供应商名称（公章）：</w:t>
      </w:r>
    </w:p>
    <w:p>
      <w:pPr>
        <w:snapToGrid w:val="0"/>
        <w:spacing w:line="500" w:lineRule="exact"/>
        <w:ind w:firstLine="6960" w:firstLineChars="2900"/>
        <w:rPr>
          <w:rFonts w:hint="eastAsia" w:ascii="仿宋" w:hAnsi="仿宋" w:eastAsia="仿宋"/>
          <w:sz w:val="24"/>
          <w:szCs w:val="28"/>
        </w:rPr>
        <w:sectPr>
          <w:headerReference r:id="rId14" w:type="default"/>
          <w:type w:val="nextColumn"/>
          <w:pgSz w:w="11907" w:h="16840"/>
          <w:pgMar w:top="1440" w:right="1080" w:bottom="1440" w:left="1080" w:header="851" w:footer="992" w:gutter="0"/>
          <w:pgNumType w:fmt="numberInDash"/>
          <w:cols w:space="720" w:num="1"/>
          <w:docGrid w:linePitch="380" w:charSpace="-5735"/>
        </w:sectPr>
      </w:pPr>
      <w:r>
        <w:rPr>
          <w:rFonts w:hint="eastAsia" w:ascii="仿宋" w:hAnsi="仿宋" w:eastAsia="仿宋"/>
          <w:sz w:val="24"/>
          <w:szCs w:val="28"/>
        </w:rPr>
        <w:t>年     月    日</w:t>
      </w:r>
    </w:p>
    <w:p>
      <w:pPr>
        <w:pStyle w:val="4"/>
        <w:pageBreakBefore/>
        <w:spacing w:line="500" w:lineRule="exact"/>
        <w:rPr>
          <w:rFonts w:hint="eastAsia" w:ascii="仿宋" w:hAnsi="仿宋" w:eastAsia="仿宋"/>
          <w:b/>
          <w:sz w:val="24"/>
        </w:rPr>
      </w:pPr>
      <w:bookmarkStart w:id="59" w:name="_Toc17394"/>
      <w:r>
        <w:rPr>
          <w:rFonts w:hint="eastAsia" w:ascii="仿宋" w:hAnsi="仿宋" w:eastAsia="仿宋"/>
          <w:b/>
          <w:szCs w:val="28"/>
        </w:rPr>
        <w:t>二、技术文件</w:t>
      </w:r>
      <w:bookmarkEnd w:id="59"/>
    </w:p>
    <w:p>
      <w:pPr>
        <w:tabs>
          <w:tab w:val="left" w:pos="6300"/>
        </w:tabs>
        <w:snapToGrid w:val="0"/>
        <w:spacing w:line="500" w:lineRule="exact"/>
        <w:ind w:firstLine="570"/>
        <w:rPr>
          <w:rFonts w:hint="eastAsia" w:ascii="仿宋" w:hAnsi="仿宋" w:eastAsia="仿宋"/>
          <w:szCs w:val="24"/>
        </w:rPr>
      </w:pPr>
      <w:r>
        <w:rPr>
          <w:rFonts w:hint="eastAsia" w:ascii="仿宋" w:hAnsi="仿宋" w:eastAsia="仿宋"/>
          <w:szCs w:val="24"/>
        </w:rPr>
        <w:t>（一）所投各产品的技术参数（或技术指标）</w:t>
      </w:r>
    </w:p>
    <w:p>
      <w:pPr>
        <w:tabs>
          <w:tab w:val="left" w:pos="6300"/>
        </w:tabs>
        <w:snapToGrid w:val="0"/>
        <w:spacing w:line="500" w:lineRule="exact"/>
        <w:ind w:firstLine="570"/>
        <w:rPr>
          <w:rFonts w:hint="eastAsia" w:ascii="仿宋" w:hAnsi="仿宋" w:eastAsia="仿宋"/>
          <w:szCs w:val="24"/>
        </w:rPr>
      </w:pPr>
    </w:p>
    <w:p>
      <w:pPr>
        <w:snapToGrid w:val="0"/>
        <w:spacing w:line="500" w:lineRule="exact"/>
        <w:jc w:val="left"/>
        <w:rPr>
          <w:rFonts w:hint="eastAsia" w:ascii="仿宋" w:hAnsi="仿宋" w:eastAsia="仿宋"/>
          <w:sz w:val="24"/>
          <w:szCs w:val="24"/>
        </w:rPr>
      </w:pPr>
      <w:r>
        <w:rPr>
          <w:rFonts w:hint="eastAsia" w:ascii="仿宋" w:hAnsi="仿宋" w:eastAsia="仿宋"/>
          <w:szCs w:val="24"/>
        </w:rPr>
        <w:t xml:space="preserve">  </w:t>
      </w:r>
    </w:p>
    <w:p>
      <w:pPr>
        <w:tabs>
          <w:tab w:val="left" w:pos="6300"/>
        </w:tabs>
        <w:snapToGrid w:val="0"/>
        <w:spacing w:line="500" w:lineRule="exact"/>
        <w:ind w:firstLine="570"/>
        <w:rPr>
          <w:rFonts w:hint="eastAsia" w:ascii="仿宋" w:hAnsi="仿宋" w:eastAsia="仿宋"/>
          <w:szCs w:val="24"/>
        </w:rPr>
      </w:pPr>
    </w:p>
    <w:p>
      <w:pPr>
        <w:tabs>
          <w:tab w:val="left" w:pos="6300"/>
        </w:tabs>
        <w:snapToGrid w:val="0"/>
        <w:spacing w:line="500" w:lineRule="exact"/>
        <w:ind w:firstLine="570"/>
        <w:rPr>
          <w:rFonts w:hint="eastAsia" w:ascii="仿宋" w:hAnsi="仿宋" w:eastAsia="仿宋"/>
          <w:szCs w:val="24"/>
        </w:rPr>
      </w:pPr>
      <w:r>
        <w:rPr>
          <w:rFonts w:ascii="仿宋" w:hAnsi="仿宋" w:eastAsia="仿宋"/>
          <w:szCs w:val="24"/>
        </w:rPr>
        <w:br w:type="page"/>
      </w:r>
      <w:r>
        <w:rPr>
          <w:rFonts w:hint="eastAsia" w:ascii="仿宋" w:hAnsi="仿宋" w:eastAsia="仿宋"/>
          <w:szCs w:val="24"/>
        </w:rPr>
        <w:t>（二）技术条款差异表</w:t>
      </w:r>
    </w:p>
    <w:p>
      <w:pPr>
        <w:pStyle w:val="32"/>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序号</w:t>
            </w: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招标要求</w:t>
            </w: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投标应答</w:t>
            </w: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bl>
    <w:p>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w:t>
      </w:r>
    </w:p>
    <w:p>
      <w:pPr>
        <w:spacing w:line="500" w:lineRule="exact"/>
        <w:ind w:firstLine="720" w:firstLineChars="300"/>
        <w:rPr>
          <w:rFonts w:hint="eastAsia" w:ascii="仿宋" w:hAnsi="仿宋" w:eastAsia="仿宋"/>
          <w:sz w:val="24"/>
          <w:szCs w:val="28"/>
        </w:rPr>
      </w:pPr>
      <w:r>
        <w:rPr>
          <w:rFonts w:hint="eastAsia" w:ascii="仿宋" w:hAnsi="仿宋" w:eastAsia="仿宋"/>
          <w:sz w:val="24"/>
          <w:szCs w:val="28"/>
        </w:rPr>
        <w:t>（投标人公章）                               （签字或盖章）</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4.可附相关技术支撑材料。（格式自定）</w:t>
      </w:r>
    </w:p>
    <w:p>
      <w:pPr>
        <w:tabs>
          <w:tab w:val="left" w:pos="6300"/>
        </w:tabs>
        <w:snapToGrid w:val="0"/>
        <w:spacing w:line="500" w:lineRule="exact"/>
        <w:ind w:firstLine="570"/>
        <w:rPr>
          <w:rFonts w:hint="eastAsia" w:ascii="仿宋" w:hAnsi="仿宋" w:eastAsia="仿宋"/>
          <w:sz w:val="24"/>
          <w:szCs w:val="24"/>
        </w:rPr>
      </w:pPr>
    </w:p>
    <w:p>
      <w:pPr>
        <w:tabs>
          <w:tab w:val="left" w:pos="6300"/>
        </w:tabs>
        <w:snapToGrid w:val="0"/>
        <w:spacing w:line="500" w:lineRule="exact"/>
        <w:ind w:firstLine="570"/>
        <w:rPr>
          <w:rFonts w:hint="eastAsia" w:ascii="仿宋" w:hAnsi="仿宋" w:eastAsia="仿宋"/>
          <w:sz w:val="24"/>
          <w:szCs w:val="24"/>
        </w:rPr>
      </w:pPr>
    </w:p>
    <w:p>
      <w:pPr>
        <w:tabs>
          <w:tab w:val="left" w:pos="6300"/>
        </w:tabs>
        <w:snapToGrid w:val="0"/>
        <w:spacing w:line="500" w:lineRule="exact"/>
        <w:ind w:firstLine="570"/>
        <w:rPr>
          <w:rFonts w:hint="eastAsia" w:ascii="方正仿宋_GBK" w:hAnsi="仿宋" w:eastAsia="方正仿宋_GBK"/>
          <w:szCs w:val="24"/>
        </w:rPr>
      </w:pPr>
      <w:r>
        <w:rPr>
          <w:rFonts w:hint="eastAsia" w:ascii="方正仿宋_GBK" w:hAnsi="仿宋" w:eastAsia="方正仿宋_GBK"/>
          <w:szCs w:val="24"/>
        </w:rPr>
        <w:t>（三）其他技术资料</w:t>
      </w:r>
    </w:p>
    <w:p>
      <w:pPr>
        <w:tabs>
          <w:tab w:val="left" w:pos="6300"/>
        </w:tabs>
        <w:snapToGrid w:val="0"/>
        <w:spacing w:line="500" w:lineRule="exact"/>
        <w:ind w:firstLine="570"/>
        <w:rPr>
          <w:rFonts w:hint="eastAsia" w:ascii="仿宋" w:hAnsi="仿宋" w:eastAsia="仿宋"/>
          <w:sz w:val="24"/>
          <w:szCs w:val="24"/>
        </w:rPr>
      </w:pPr>
      <w:r>
        <w:rPr>
          <w:rFonts w:hint="eastAsia" w:ascii="方正仿宋_GBK" w:hAnsi="宋体" w:eastAsia="方正仿宋_GBK"/>
          <w:sz w:val="24"/>
          <w:szCs w:val="24"/>
        </w:rPr>
        <w:t>（自拟，按照第二篇、第四篇的要求拟定）</w:t>
      </w:r>
    </w:p>
    <w:p>
      <w:pPr>
        <w:snapToGrid w:val="0"/>
        <w:spacing w:line="500" w:lineRule="exact"/>
        <w:ind w:firstLine="480" w:firstLineChars="200"/>
        <w:rPr>
          <w:rFonts w:hint="eastAsia" w:ascii="仿宋" w:hAnsi="仿宋" w:eastAsia="仿宋"/>
          <w:sz w:val="24"/>
          <w:szCs w:val="28"/>
        </w:rPr>
      </w:pPr>
    </w:p>
    <w:p>
      <w:pPr>
        <w:pStyle w:val="4"/>
        <w:pageBreakBefore/>
        <w:spacing w:line="500" w:lineRule="exact"/>
        <w:rPr>
          <w:rFonts w:hint="eastAsia" w:ascii="仿宋" w:hAnsi="仿宋" w:eastAsia="仿宋"/>
          <w:b/>
          <w:szCs w:val="28"/>
        </w:rPr>
      </w:pPr>
      <w:bookmarkStart w:id="60" w:name="_Toc12240"/>
      <w:bookmarkStart w:id="61" w:name="_Toc492721039"/>
      <w:bookmarkStart w:id="62" w:name="_Toc429584886"/>
      <w:r>
        <w:rPr>
          <w:rFonts w:hint="eastAsia" w:ascii="仿宋" w:hAnsi="仿宋" w:eastAsia="仿宋"/>
          <w:b/>
          <w:szCs w:val="28"/>
        </w:rPr>
        <w:t>三、商务文件</w:t>
      </w:r>
      <w:bookmarkEnd w:id="60"/>
      <w:bookmarkEnd w:id="61"/>
      <w:bookmarkEnd w:id="62"/>
    </w:p>
    <w:p>
      <w:pPr>
        <w:snapToGrid w:val="0"/>
        <w:spacing w:before="120" w:beforeLines="50" w:line="500" w:lineRule="exact"/>
        <w:jc w:val="center"/>
        <w:rPr>
          <w:rFonts w:hint="eastAsia" w:ascii="仿宋" w:hAnsi="仿宋" w:eastAsia="仿宋"/>
          <w:szCs w:val="28"/>
        </w:rPr>
      </w:pPr>
      <w:r>
        <w:rPr>
          <w:rFonts w:hint="eastAsia" w:ascii="仿宋" w:hAnsi="仿宋" w:eastAsia="仿宋"/>
          <w:szCs w:val="28"/>
        </w:rPr>
        <w:t>（一）投标函（格式）</w:t>
      </w: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u w:val="single"/>
        </w:rPr>
      </w:pPr>
      <w:r>
        <w:rPr>
          <w:rFonts w:hint="eastAsia" w:ascii="仿宋" w:hAnsi="仿宋" w:eastAsia="仿宋"/>
          <w:sz w:val="24"/>
          <w:szCs w:val="28"/>
        </w:rPr>
        <w:t>招标项目名称：</w:t>
      </w:r>
      <w:r>
        <w:rPr>
          <w:rFonts w:hint="eastAsia" w:ascii="仿宋" w:hAnsi="仿宋" w:eastAsia="仿宋"/>
          <w:sz w:val="24"/>
          <w:szCs w:val="28"/>
          <w:u w:val="single"/>
        </w:rPr>
        <w:t xml:space="preserve">                                             </w:t>
      </w:r>
    </w:p>
    <w:p>
      <w:pPr>
        <w:spacing w:line="500" w:lineRule="exact"/>
        <w:rPr>
          <w:rFonts w:hint="eastAsia" w:ascii="仿宋" w:hAnsi="仿宋" w:eastAsia="仿宋"/>
          <w:sz w:val="24"/>
          <w:szCs w:val="28"/>
        </w:rPr>
      </w:pPr>
    </w:p>
    <w:p>
      <w:pPr>
        <w:tabs>
          <w:tab w:val="left" w:pos="6300"/>
        </w:tabs>
        <w:snapToGrid w:val="0"/>
        <w:spacing w:line="500" w:lineRule="exact"/>
        <w:rPr>
          <w:rFonts w:hint="eastAsia" w:ascii="仿宋" w:hAnsi="仿宋" w:eastAsia="仿宋"/>
          <w:sz w:val="24"/>
          <w:szCs w:val="28"/>
        </w:rPr>
      </w:pPr>
      <w:r>
        <w:rPr>
          <w:rFonts w:hint="eastAsia" w:ascii="仿宋" w:hAnsi="仿宋" w:eastAsia="仿宋"/>
          <w:sz w:val="24"/>
          <w:szCs w:val="28"/>
        </w:rPr>
        <w:t>致：</w:t>
      </w:r>
      <w:r>
        <w:rPr>
          <w:rFonts w:hint="eastAsia" w:ascii="仿宋" w:hAnsi="仿宋" w:eastAsia="仿宋"/>
          <w:sz w:val="24"/>
          <w:szCs w:val="28"/>
          <w:u w:val="single"/>
        </w:rPr>
        <w:t xml:space="preserve">                    </w:t>
      </w:r>
      <w:r>
        <w:rPr>
          <w:rFonts w:hint="eastAsia" w:ascii="仿宋" w:hAnsi="仿宋" w:eastAsia="仿宋"/>
          <w:sz w:val="24"/>
          <w:szCs w:val="28"/>
        </w:rPr>
        <w:t>（采购代理机构名称）：</w:t>
      </w:r>
    </w:p>
    <w:p>
      <w:pPr>
        <w:snapToGrid w:val="0"/>
        <w:spacing w:before="120" w:beforeLines="50" w:line="500" w:lineRule="exact"/>
        <w:ind w:firstLine="480" w:firstLineChars="200"/>
        <w:rPr>
          <w:rFonts w:hint="eastAsia" w:ascii="仿宋" w:hAnsi="仿宋" w:eastAsia="仿宋"/>
          <w:sz w:val="24"/>
          <w:szCs w:val="28"/>
        </w:rPr>
      </w:pPr>
      <w:r>
        <w:rPr>
          <w:rFonts w:hint="eastAsia" w:ascii="仿宋" w:hAnsi="仿宋" w:eastAsia="仿宋"/>
          <w:sz w:val="24"/>
          <w:szCs w:val="28"/>
          <w:u w:val="single"/>
        </w:rPr>
        <w:t xml:space="preserve">                        </w:t>
      </w:r>
      <w:r>
        <w:rPr>
          <w:rFonts w:hint="eastAsia" w:ascii="仿宋" w:hAnsi="仿宋" w:eastAsia="仿宋"/>
          <w:sz w:val="24"/>
          <w:szCs w:val="28"/>
        </w:rPr>
        <w:t>（投标人名称）系中华人民共和国合法企业，注册地址：</w:t>
      </w:r>
      <w:r>
        <w:rPr>
          <w:rFonts w:hint="eastAsia" w:ascii="仿宋" w:hAnsi="仿宋" w:eastAsia="仿宋"/>
          <w:sz w:val="24"/>
          <w:szCs w:val="28"/>
          <w:u w:val="single"/>
        </w:rPr>
        <w:t xml:space="preserve">                               </w:t>
      </w:r>
      <w:r>
        <w:rPr>
          <w:rFonts w:hint="eastAsia" w:ascii="仿宋" w:hAnsi="仿宋" w:eastAsia="仿宋"/>
          <w:sz w:val="24"/>
          <w:szCs w:val="28"/>
        </w:rPr>
        <w:t>。我方就参加本次投标有关事项郑重声明如下：</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五、我方承诺：本次投标的投标有效期为90天。</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八、我方未</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九、我方理解，最低报价不是中标的唯一条件。</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十、我方同意按有关规定及招标文件要求，缴纳足额投标保证金。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十一、若我方中标，愿意按有关规定及招标文件要求缴纳招标代理服务费和交易服务费。</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460" w:firstLineChars="2275"/>
        <w:rPr>
          <w:rFonts w:hint="eastAsia" w:ascii="仿宋" w:hAnsi="仿宋" w:eastAsia="仿宋"/>
          <w:sz w:val="24"/>
          <w:szCs w:val="28"/>
        </w:rPr>
      </w:pPr>
      <w:r>
        <w:rPr>
          <w:rFonts w:hint="eastAsia" w:ascii="仿宋" w:hAnsi="仿宋" w:eastAsia="仿宋"/>
          <w:sz w:val="24"/>
          <w:szCs w:val="28"/>
        </w:rPr>
        <w:t>（投标人公章）</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760" w:firstLineChars="2400"/>
        <w:rPr>
          <w:rFonts w:hint="eastAsia" w:ascii="仿宋" w:hAnsi="仿宋" w:eastAsia="仿宋"/>
          <w:szCs w:val="28"/>
        </w:rPr>
      </w:pPr>
      <w:r>
        <w:rPr>
          <w:rFonts w:hint="eastAsia" w:ascii="仿宋" w:hAnsi="仿宋" w:eastAsia="仿宋"/>
          <w:sz w:val="24"/>
          <w:szCs w:val="28"/>
        </w:rPr>
        <w:t>年    月   日</w:t>
      </w:r>
    </w:p>
    <w:p>
      <w:pPr>
        <w:tabs>
          <w:tab w:val="left" w:pos="6300"/>
        </w:tabs>
        <w:snapToGrid w:val="0"/>
        <w:spacing w:line="500" w:lineRule="exact"/>
        <w:ind w:firstLine="560" w:firstLineChars="200"/>
        <w:outlineLvl w:val="0"/>
        <w:rPr>
          <w:rFonts w:hint="eastAsia" w:ascii="仿宋" w:hAnsi="仿宋" w:eastAsia="仿宋"/>
        </w:rPr>
      </w:pPr>
      <w:r>
        <w:rPr>
          <w:rFonts w:ascii="仿宋" w:hAnsi="仿宋" w:eastAsia="仿宋"/>
          <w:szCs w:val="44"/>
        </w:rPr>
        <w:br w:type="page"/>
      </w:r>
      <w:r>
        <w:rPr>
          <w:rFonts w:hint="eastAsia" w:ascii="仿宋" w:hAnsi="仿宋" w:eastAsia="仿宋"/>
        </w:rPr>
        <w:t>（二）商务条款差异表</w:t>
      </w:r>
    </w:p>
    <w:p>
      <w:pPr>
        <w:pStyle w:val="32"/>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序号</w:t>
            </w: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招标商务要求</w:t>
            </w: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投标商务应答</w:t>
            </w: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noWrap w:val="0"/>
            <w:vAlign w:val="center"/>
          </w:tcPr>
          <w:p>
            <w:pPr>
              <w:tabs>
                <w:tab w:val="left" w:pos="6300"/>
              </w:tabs>
              <w:snapToGrid w:val="0"/>
              <w:spacing w:line="500" w:lineRule="exact"/>
              <w:jc w:val="center"/>
              <w:outlineLvl w:val="0"/>
              <w:rPr>
                <w:rFonts w:hint="eastAsia" w:ascii="仿宋" w:hAnsi="仿宋" w:eastAsia="仿宋"/>
                <w:sz w:val="21"/>
                <w:szCs w:val="21"/>
              </w:rPr>
            </w:pPr>
          </w:p>
        </w:tc>
      </w:tr>
    </w:tbl>
    <w:p>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1.本表即为对本项目“第三篇 项目商务要求”中所列商务条款进行比较和响应；</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rPr>
          <w:rFonts w:hint="eastAsia" w:ascii="方正仿宋_GBK" w:hAnsi="仿宋" w:eastAsia="方正仿宋_GBK"/>
          <w:szCs w:val="28"/>
        </w:rPr>
      </w:pPr>
      <w:r>
        <w:rPr>
          <w:rFonts w:ascii="仿宋" w:hAnsi="仿宋" w:eastAsia="仿宋"/>
          <w:szCs w:val="28"/>
        </w:rPr>
        <w:br w:type="page"/>
      </w:r>
      <w:r>
        <w:rPr>
          <w:rFonts w:hint="eastAsia" w:ascii="仿宋" w:hAnsi="仿宋" w:eastAsia="仿宋"/>
        </w:rPr>
        <w:t>（三）</w:t>
      </w:r>
      <w:r>
        <w:rPr>
          <w:rFonts w:hint="eastAsia" w:ascii="方正仿宋_GBK" w:hAnsi="仿宋" w:eastAsia="方正仿宋_GBK"/>
          <w:szCs w:val="28"/>
        </w:rPr>
        <w:t>其他商务资料</w:t>
      </w:r>
    </w:p>
    <w:p>
      <w:pPr>
        <w:tabs>
          <w:tab w:val="left" w:pos="6300"/>
        </w:tabs>
        <w:snapToGrid w:val="0"/>
        <w:spacing w:line="500" w:lineRule="exact"/>
        <w:ind w:firstLine="480" w:firstLineChars="200"/>
        <w:outlineLvl w:val="0"/>
        <w:rPr>
          <w:rFonts w:ascii="仿宋" w:hAnsi="仿宋" w:eastAsia="仿宋"/>
          <w:sz w:val="24"/>
          <w:szCs w:val="24"/>
        </w:rPr>
      </w:pPr>
      <w:r>
        <w:rPr>
          <w:rFonts w:hint="eastAsia" w:ascii="方正仿宋_GBK" w:hAnsi="宋体" w:eastAsia="方正仿宋_GBK"/>
          <w:sz w:val="24"/>
          <w:szCs w:val="24"/>
        </w:rPr>
        <w:t>（自拟，按照第三篇、第四篇的要求拟定）</w:t>
      </w:r>
    </w:p>
    <w:p>
      <w:pPr>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rPr>
        <w:t xml:space="preserve"> </w:t>
      </w:r>
    </w:p>
    <w:p>
      <w:pPr>
        <w:pStyle w:val="4"/>
        <w:pageBreakBefore/>
        <w:spacing w:line="500" w:lineRule="exact"/>
        <w:rPr>
          <w:rFonts w:hint="eastAsia" w:ascii="仿宋" w:hAnsi="仿宋" w:eastAsia="仿宋"/>
          <w:b/>
          <w:szCs w:val="28"/>
        </w:rPr>
      </w:pPr>
      <w:bookmarkStart w:id="63" w:name="_Toc25413"/>
      <w:bookmarkStart w:id="64" w:name="_Toc429584888"/>
      <w:bookmarkStart w:id="65" w:name="_Toc492721041"/>
      <w:r>
        <w:rPr>
          <w:rFonts w:hint="eastAsia" w:ascii="仿宋" w:hAnsi="仿宋" w:eastAsia="仿宋"/>
          <w:b/>
          <w:szCs w:val="28"/>
        </w:rPr>
        <w:t>四、其他</w:t>
      </w:r>
      <w:bookmarkEnd w:id="63"/>
      <w:bookmarkEnd w:id="64"/>
      <w:bookmarkEnd w:id="65"/>
    </w:p>
    <w:p>
      <w:pPr>
        <w:tabs>
          <w:tab w:val="left" w:pos="6300"/>
        </w:tabs>
        <w:snapToGrid w:val="0"/>
        <w:spacing w:line="500" w:lineRule="exact"/>
        <w:jc w:val="left"/>
        <w:rPr>
          <w:rFonts w:hint="eastAsia" w:ascii="仿宋" w:hAnsi="仿宋" w:eastAsia="仿宋"/>
        </w:rPr>
      </w:pPr>
    </w:p>
    <w:p>
      <w:pPr>
        <w:tabs>
          <w:tab w:val="left" w:pos="6300"/>
        </w:tabs>
        <w:snapToGrid w:val="0"/>
        <w:spacing w:line="500" w:lineRule="exact"/>
        <w:jc w:val="left"/>
        <w:rPr>
          <w:rFonts w:hint="eastAsia" w:ascii="仿宋" w:hAnsi="仿宋" w:eastAsia="仿宋"/>
        </w:rPr>
      </w:pPr>
      <w:r>
        <w:rPr>
          <w:rFonts w:hint="eastAsia" w:ascii="仿宋" w:hAnsi="仿宋" w:eastAsia="仿宋"/>
        </w:rPr>
        <w:t>（一）其他与项目有关的资料（自附）</w:t>
      </w:r>
    </w:p>
    <w:p>
      <w:pPr>
        <w:pStyle w:val="4"/>
        <w:pageBreakBefore/>
        <w:spacing w:line="500" w:lineRule="exact"/>
        <w:rPr>
          <w:rFonts w:hint="eastAsia" w:ascii="仿宋" w:hAnsi="仿宋" w:eastAsia="仿宋"/>
          <w:b/>
          <w:szCs w:val="28"/>
        </w:rPr>
      </w:pPr>
      <w:bookmarkStart w:id="66" w:name="_Toc429584885"/>
      <w:bookmarkStart w:id="67" w:name="_Toc492721038"/>
      <w:bookmarkStart w:id="68" w:name="_Toc13157"/>
      <w:r>
        <w:rPr>
          <w:rFonts w:hint="eastAsia" w:ascii="仿宋" w:hAnsi="仿宋" w:eastAsia="仿宋"/>
          <w:b/>
          <w:szCs w:val="28"/>
        </w:rPr>
        <w:t>五、资格文件</w:t>
      </w:r>
      <w:bookmarkEnd w:id="66"/>
      <w:bookmarkEnd w:id="67"/>
      <w:r>
        <w:rPr>
          <w:rFonts w:hint="eastAsia" w:ascii="仿宋" w:hAnsi="仿宋" w:eastAsia="仿宋"/>
          <w:b/>
          <w:szCs w:val="28"/>
        </w:rPr>
        <w:t>（单独装订）</w:t>
      </w:r>
      <w:bookmarkEnd w:id="68"/>
    </w:p>
    <w:p>
      <w:pPr>
        <w:tabs>
          <w:tab w:val="left" w:pos="6300"/>
        </w:tabs>
        <w:snapToGrid w:val="0"/>
        <w:spacing w:line="500" w:lineRule="exact"/>
        <w:ind w:firstLine="570"/>
        <w:rPr>
          <w:rFonts w:hint="eastAsia" w:ascii="仿宋" w:hAnsi="仿宋" w:eastAsia="仿宋"/>
        </w:rPr>
      </w:pPr>
      <w:r>
        <w:rPr>
          <w:rFonts w:hint="eastAsia" w:ascii="仿宋" w:hAnsi="仿宋" w:eastAsia="仿宋"/>
        </w:rPr>
        <w:t>（一）营业执照（副本）</w:t>
      </w:r>
      <w:r>
        <w:rPr>
          <w:rFonts w:hint="eastAsia" w:ascii="仿宋" w:hAnsi="仿宋" w:eastAsia="仿宋"/>
          <w:szCs w:val="28"/>
        </w:rPr>
        <w:t>或事业单位法人证书（副本）</w:t>
      </w:r>
      <w:r>
        <w:rPr>
          <w:rFonts w:hint="eastAsia" w:ascii="仿宋" w:hAnsi="仿宋" w:eastAsia="仿宋"/>
        </w:rPr>
        <w:t>复印件</w:t>
      </w: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r>
        <w:rPr>
          <w:rFonts w:hint="eastAsia" w:ascii="仿宋" w:hAnsi="仿宋" w:eastAsia="仿宋"/>
        </w:rPr>
        <w:t>（二）组织机构代码证复印件</w:t>
      </w: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p>
    <w:p>
      <w:pPr>
        <w:widowControl/>
        <w:ind w:firstLine="560" w:firstLineChars="200"/>
        <w:jc w:val="left"/>
        <w:rPr>
          <w:rFonts w:hint="eastAsia" w:ascii="仿宋" w:hAnsi="仿宋" w:eastAsia="仿宋"/>
        </w:rPr>
      </w:pPr>
      <w:r>
        <w:rPr>
          <w:rFonts w:ascii="仿宋" w:hAnsi="仿宋" w:eastAsia="仿宋"/>
        </w:rPr>
        <w:br w:type="page"/>
      </w:r>
      <w:r>
        <w:rPr>
          <w:rFonts w:hint="eastAsia" w:ascii="仿宋" w:hAnsi="仿宋" w:eastAsia="仿宋"/>
        </w:rPr>
        <w:t>（三）法定代表人身份证明书（格式）</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招标项目名称：</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（投标人名称）任</w:t>
      </w:r>
      <w:r>
        <w:rPr>
          <w:rFonts w:hint="eastAsia" w:ascii="仿宋" w:hAnsi="仿宋" w:eastAsia="仿宋"/>
          <w:sz w:val="24"/>
          <w:u w:val="single"/>
        </w:rPr>
        <w:t xml:space="preserve">    </w:t>
      </w:r>
      <w:r>
        <w:rPr>
          <w:rFonts w:hint="eastAsia" w:ascii="仿宋" w:hAnsi="仿宋" w:eastAsia="仿宋"/>
          <w:sz w:val="24"/>
        </w:rPr>
        <w:t>（职务名称）职务，是（投标人名称）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（投标人公章）</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rPr>
      </w:pPr>
      <w:r>
        <w:rPr>
          <w:rFonts w:ascii="仿宋" w:hAnsi="仿宋" w:eastAsia="仿宋"/>
        </w:rPr>
        <w:br w:type="column"/>
      </w:r>
      <w:r>
        <w:rPr>
          <w:rFonts w:hint="eastAsia" w:ascii="仿宋" w:hAnsi="仿宋" w:eastAsia="仿宋"/>
        </w:rPr>
        <w:t>（四）法定代表人授权委托书（格式）</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（投标人法定代表人名称）是</w:t>
      </w:r>
      <w:r>
        <w:rPr>
          <w:rFonts w:hint="eastAsia" w:ascii="仿宋" w:hAnsi="仿宋" w:eastAsia="仿宋"/>
          <w:sz w:val="24"/>
          <w:u w:val="single"/>
        </w:rPr>
        <w:t xml:space="preserve">                    </w:t>
      </w:r>
      <w:r>
        <w:rPr>
          <w:rFonts w:hint="eastAsia" w:ascii="仿宋" w:hAnsi="仿宋" w:eastAsia="仿宋"/>
          <w:sz w:val="24"/>
        </w:rPr>
        <w:t>（投标人名称）的法定代表人，特授权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被授权人：                                 投标人法定代表人：</w:t>
      </w:r>
    </w:p>
    <w:p>
      <w:pPr>
        <w:tabs>
          <w:tab w:val="left" w:pos="6300"/>
        </w:tabs>
        <w:snapToGrid w:val="0"/>
        <w:spacing w:line="500" w:lineRule="exact"/>
        <w:ind w:firstLine="570"/>
        <w:rPr>
          <w:rFonts w:hint="eastAsia"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（投标人公章）</w:t>
      </w: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年   月   日</w:t>
      </w:r>
    </w:p>
    <w:p>
      <w:pPr>
        <w:tabs>
          <w:tab w:val="left" w:pos="6300"/>
        </w:tabs>
        <w:snapToGrid w:val="0"/>
        <w:spacing w:line="500" w:lineRule="exact"/>
        <w:ind w:right="480" w:firstLine="570"/>
        <w:jc w:val="right"/>
        <w:rPr>
          <w:rFonts w:hint="eastAsia" w:ascii="仿宋" w:hAnsi="仿宋" w:eastAsia="仿宋"/>
          <w:sz w:val="24"/>
        </w:rPr>
      </w:pP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1.若为法定代表人办理并签署投标文件的，不提供此文件。</w:t>
      </w: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2.若为联合体投标的，法定代表人授权委托书由联合体主办方</w:t>
      </w:r>
      <w:r>
        <w:rPr>
          <w:rFonts w:hint="eastAsia" w:ascii="仿宋" w:hAnsi="仿宋" w:eastAsia="仿宋" w:cs="宋体"/>
          <w:kern w:val="0"/>
          <w:sz w:val="24"/>
          <w:szCs w:val="24"/>
        </w:rPr>
        <w:t>（主体）</w:t>
      </w:r>
      <w:r>
        <w:rPr>
          <w:rFonts w:hint="eastAsia" w:ascii="仿宋" w:hAnsi="仿宋" w:eastAsia="仿宋"/>
          <w:sz w:val="24"/>
        </w:rPr>
        <w:t>出具。</w:t>
      </w:r>
    </w:p>
    <w:p>
      <w:pPr>
        <w:tabs>
          <w:tab w:val="left" w:pos="6300"/>
        </w:tabs>
        <w:snapToGrid w:val="0"/>
        <w:spacing w:line="500" w:lineRule="exact"/>
        <w:ind w:firstLine="570"/>
        <w:rPr>
          <w:rFonts w:hint="eastAsia" w:ascii="仿宋" w:hAnsi="仿宋" w:eastAsia="仿宋"/>
        </w:rPr>
      </w:pPr>
      <w:r>
        <w:rPr>
          <w:rFonts w:ascii="仿宋" w:hAnsi="仿宋" w:eastAsia="仿宋"/>
        </w:rPr>
        <w:br w:type="column"/>
      </w:r>
    </w:p>
    <w:p>
      <w:pPr>
        <w:tabs>
          <w:tab w:val="left" w:pos="6300"/>
        </w:tabs>
        <w:snapToGrid w:val="0"/>
        <w:spacing w:line="500" w:lineRule="exact"/>
        <w:jc w:val="center"/>
        <w:rPr>
          <w:rFonts w:hint="eastAsia" w:ascii="仿宋" w:hAnsi="仿宋" w:eastAsia="仿宋"/>
          <w:sz w:val="24"/>
        </w:rPr>
      </w:pPr>
      <w:r>
        <w:rPr>
          <w:rFonts w:hint="eastAsia" w:ascii="仿宋" w:hAnsi="仿宋" w:eastAsia="仿宋"/>
        </w:rPr>
        <w:t>（五）书面声明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500" w:lineRule="exact"/>
        <w:ind w:firstLine="480" w:firstLineChars="20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特此声明。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right="424" w:firstLine="570"/>
        <w:jc w:val="right"/>
        <w:rPr>
          <w:rFonts w:hint="eastAsia" w:ascii="仿宋" w:hAnsi="仿宋" w:eastAsia="仿宋"/>
          <w:sz w:val="24"/>
        </w:rPr>
      </w:pPr>
      <w:r>
        <w:rPr>
          <w:rFonts w:hint="eastAsia" w:ascii="仿宋" w:hAnsi="仿宋" w:eastAsia="仿宋"/>
          <w:sz w:val="24"/>
        </w:rPr>
        <w:t>（投标人公章）</w:t>
      </w: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年   月   日</w:t>
      </w:r>
    </w:p>
    <w:p>
      <w:pPr>
        <w:snapToGrid w:val="0"/>
        <w:spacing w:line="440" w:lineRule="exact"/>
        <w:ind w:firstLine="480" w:firstLineChars="200"/>
        <w:rPr>
          <w:rFonts w:hint="eastAsia" w:ascii="仿宋" w:hAnsi="仿宋" w:eastAsia="仿宋"/>
          <w:sz w:val="24"/>
          <w:szCs w:val="24"/>
        </w:rPr>
      </w:pPr>
    </w:p>
    <w:p>
      <w:pPr>
        <w:tabs>
          <w:tab w:val="left" w:pos="6300"/>
        </w:tabs>
        <w:snapToGrid w:val="0"/>
        <w:spacing w:line="500" w:lineRule="exact"/>
        <w:ind w:firstLine="570"/>
        <w:rPr>
          <w:rFonts w:hint="eastAsia" w:ascii="仿宋" w:hAnsi="仿宋" w:eastAsia="仿宋"/>
        </w:rPr>
      </w:pPr>
      <w:r>
        <w:rPr>
          <w:rFonts w:ascii="仿宋" w:hAnsi="仿宋" w:eastAsia="仿宋"/>
        </w:rPr>
        <w:br w:type="page"/>
      </w:r>
      <w:r>
        <w:rPr>
          <w:rFonts w:hint="eastAsia" w:ascii="仿宋" w:hAnsi="仿宋" w:eastAsia="仿宋"/>
        </w:rPr>
        <w:t>（六）税务登记证（副本）复印件</w:t>
      </w:r>
    </w:p>
    <w:p>
      <w:pPr>
        <w:tabs>
          <w:tab w:val="left" w:pos="6300"/>
        </w:tabs>
        <w:snapToGrid w:val="0"/>
        <w:spacing w:line="500" w:lineRule="exact"/>
        <w:ind w:firstLine="560"/>
        <w:rPr>
          <w:rFonts w:hint="eastAsia" w:ascii="仿宋" w:hAnsi="仿宋" w:eastAsia="仿宋"/>
        </w:rPr>
      </w:pPr>
      <w:r>
        <w:rPr>
          <w:rFonts w:hint="eastAsia" w:ascii="仿宋" w:hAnsi="仿宋" w:eastAsia="仿宋"/>
        </w:rPr>
        <w:t>（七）缴纳社会保障金的证明材料复印件</w:t>
      </w:r>
    </w:p>
    <w:p>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说明：投标人营业执照、税务登记证、组织机构代码证或加载统一社会信用代码的三证合一营业执照（副本）复印件为准。</w:t>
      </w:r>
    </w:p>
    <w:p>
      <w:pPr>
        <w:tabs>
          <w:tab w:val="left" w:pos="6300"/>
        </w:tabs>
        <w:snapToGrid w:val="0"/>
        <w:spacing w:line="500" w:lineRule="exact"/>
        <w:ind w:firstLine="570"/>
        <w:rPr>
          <w:rFonts w:hint="eastAsia" w:ascii="仿宋" w:hAnsi="仿宋" w:eastAsia="仿宋"/>
        </w:rPr>
      </w:pPr>
      <w:r>
        <w:rPr>
          <w:rFonts w:ascii="仿宋" w:hAnsi="仿宋" w:eastAsia="仿宋"/>
          <w:sz w:val="24"/>
          <w:szCs w:val="24"/>
        </w:rPr>
        <w:br w:type="page"/>
      </w:r>
      <w:r>
        <w:rPr>
          <w:rFonts w:hint="eastAsia" w:ascii="仿宋" w:hAnsi="仿宋" w:eastAsia="仿宋"/>
        </w:rPr>
        <w:t>（八）特定资格条件证书或证明文件</w:t>
      </w: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jc w:val="center"/>
        <w:rPr>
          <w:rFonts w:hint="eastAsia" w:ascii="仿宋" w:hAnsi="仿宋" w:eastAsia="仿宋"/>
        </w:rPr>
      </w:pPr>
      <w:r>
        <w:rPr>
          <w:rFonts w:hint="eastAsia" w:ascii="仿宋" w:hAnsi="仿宋" w:eastAsia="仿宋"/>
        </w:rPr>
        <w:t>（结束）</w:t>
      </w:r>
    </w:p>
    <w:p/>
    <w:sectPr>
      <w:headerReference r:id="rId15" w:type="default"/>
      <w:footerReference r:id="rId16"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AD7D19-9585-4CA7-AA20-2DD1C7F6EC95}"/>
  </w:font>
  <w:font w:name="仿宋_GB2312">
    <w:altName w:val="仿宋"/>
    <w:panose1 w:val="02010609030101010101"/>
    <w:charset w:val="86"/>
    <w:family w:val="modern"/>
    <w:pitch w:val="default"/>
    <w:sig w:usb0="00000000" w:usb1="00000000" w:usb2="00000010" w:usb3="00000000" w:csb0="00040000" w:csb1="00000000"/>
    <w:embedRegular r:id="rId2" w:fontKey="{A8106839-423F-486A-914F-FCCD9653423E}"/>
  </w:font>
  <w:font w:name="仿宋">
    <w:panose1 w:val="02010609060101010101"/>
    <w:charset w:val="86"/>
    <w:family w:val="auto"/>
    <w:pitch w:val="default"/>
    <w:sig w:usb0="800002BF" w:usb1="38CF7CFA" w:usb2="00000016" w:usb3="00000000" w:csb0="00040001" w:csb1="00000000"/>
    <w:embedRegular r:id="rId3" w:fontKey="{CB966824-EB0F-40A9-8BA6-96C748770A3F}"/>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A1E8920D-F892-45A3-869D-6FB9159796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- 1 -</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w:fldChar w:fldCharType="begin"/>
    </w:r>
    <w:r>
      <w:rPr>
        <w:rStyle w:val="61"/>
      </w:rPr>
      <w:instrText xml:space="preserve"> PAGE </w:instrText>
    </w:r>
    <w:r>
      <w:fldChar w:fldCharType="separate"/>
    </w:r>
    <w:r>
      <w:rPr>
        <w:rStyle w:val="61"/>
      </w:rPr>
      <w:t>- 3 -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- 37 -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left"/>
      <w:rPr>
        <w:rFonts w:hint="eastAsia" w:ascii="宋体" w:hAnsi="宋体"/>
        <w:szCs w:val="18"/>
      </w:rPr>
    </w:pPr>
    <w:r>
      <w:rPr>
        <w:rFonts w:hint="eastAsia" w:ascii="宋体" w:hAnsi="宋体" w:cs="宋体"/>
        <w:sz w:val="21"/>
        <w:szCs w:val="21"/>
      </w:rPr>
      <w:t>重庆芳园建设工程咨询有限公司</w:t>
    </w:r>
    <w:r>
      <w:rPr>
        <w:rFonts w:hint="eastAsia" w:ascii="宋体" w:hAnsi="宋体"/>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重庆方郡建设工程咨询有限公司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4"/>
      </w:rPr>
    </w:pPr>
    <w:r>
      <w:rPr>
        <w:rFonts w:hint="eastAsia" w:ascii="方正仿宋_GBK" w:eastAsia="方正仿宋_GBK"/>
        <w:sz w:val="21"/>
        <w:szCs w:val="24"/>
      </w:rPr>
      <w:t>重庆方郡建设工程咨询有限公司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4"/>
      </w:rPr>
      <w:t>重庆方郡建设工程咨询有限公司</w:t>
    </w:r>
    <w:r>
      <w:rPr>
        <w:rFonts w:hint="eastAsia" w:ascii="方正仿宋_GBK" w:eastAsia="方正仿宋_GBK"/>
        <w:sz w:val="21"/>
        <w:szCs w:val="21"/>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050" w:firstLineChars="500"/>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4"/>
      </w:rPr>
    </w:pPr>
    <w:r>
      <w:rPr>
        <w:rFonts w:hint="eastAsia" w:ascii="方正仿宋_GBK" w:eastAsia="方正仿宋_GBK"/>
        <w:sz w:val="21"/>
        <w:szCs w:val="24"/>
      </w:rPr>
      <w:t>重庆方郡建设工程咨询有限公司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202"/>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68"/>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0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0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1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5"/>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3"/>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1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F5C01DB"/>
    <w:multiLevelType w:val="singleLevel"/>
    <w:tmpl w:val="7F5C01DB"/>
    <w:lvl w:ilvl="0" w:tentative="0">
      <w:start w:val="3"/>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8"/>
  </w:num>
  <w:num w:numId="7">
    <w:abstractNumId w:val="9"/>
  </w:num>
  <w:num w:numId="8">
    <w:abstractNumId w:val="14"/>
  </w:num>
  <w:num w:numId="9">
    <w:abstractNumId w:val="5"/>
  </w:num>
  <w:num w:numId="10">
    <w:abstractNumId w:val="12"/>
  </w:num>
  <w:num w:numId="11">
    <w:abstractNumId w:val="3"/>
  </w:num>
  <w:num w:numId="12">
    <w:abstractNumId w:val="10"/>
  </w:num>
  <w:num w:numId="13">
    <w:abstractNumId w:val="6"/>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C3"/>
    <w:rsid w:val="00004E02"/>
    <w:rsid w:val="000060BC"/>
    <w:rsid w:val="000072F0"/>
    <w:rsid w:val="00010D1E"/>
    <w:rsid w:val="00011284"/>
    <w:rsid w:val="00011AF1"/>
    <w:rsid w:val="00016A66"/>
    <w:rsid w:val="000174A7"/>
    <w:rsid w:val="00020335"/>
    <w:rsid w:val="00021946"/>
    <w:rsid w:val="00025C8E"/>
    <w:rsid w:val="000266A1"/>
    <w:rsid w:val="0003075E"/>
    <w:rsid w:val="0003282A"/>
    <w:rsid w:val="00034A67"/>
    <w:rsid w:val="0003767C"/>
    <w:rsid w:val="000376BA"/>
    <w:rsid w:val="00042250"/>
    <w:rsid w:val="00043311"/>
    <w:rsid w:val="00053630"/>
    <w:rsid w:val="00054BCC"/>
    <w:rsid w:val="00056058"/>
    <w:rsid w:val="00056C64"/>
    <w:rsid w:val="00057565"/>
    <w:rsid w:val="00060807"/>
    <w:rsid w:val="00064EA7"/>
    <w:rsid w:val="0006572E"/>
    <w:rsid w:val="00075520"/>
    <w:rsid w:val="00083911"/>
    <w:rsid w:val="000946BD"/>
    <w:rsid w:val="00094D91"/>
    <w:rsid w:val="000A3134"/>
    <w:rsid w:val="000A4082"/>
    <w:rsid w:val="000A5589"/>
    <w:rsid w:val="000B2716"/>
    <w:rsid w:val="000B4A43"/>
    <w:rsid w:val="000B7999"/>
    <w:rsid w:val="000C06D1"/>
    <w:rsid w:val="000C2017"/>
    <w:rsid w:val="000C2306"/>
    <w:rsid w:val="000C2606"/>
    <w:rsid w:val="000C4016"/>
    <w:rsid w:val="000C47BC"/>
    <w:rsid w:val="000D568F"/>
    <w:rsid w:val="000D66BE"/>
    <w:rsid w:val="000D6E98"/>
    <w:rsid w:val="000E14D0"/>
    <w:rsid w:val="000E1B02"/>
    <w:rsid w:val="000E32C9"/>
    <w:rsid w:val="000E43DC"/>
    <w:rsid w:val="000E6331"/>
    <w:rsid w:val="000E7B09"/>
    <w:rsid w:val="000F16AA"/>
    <w:rsid w:val="000F176A"/>
    <w:rsid w:val="000F30CC"/>
    <w:rsid w:val="000F3783"/>
    <w:rsid w:val="000F391C"/>
    <w:rsid w:val="000F482B"/>
    <w:rsid w:val="00103EEE"/>
    <w:rsid w:val="00104DF1"/>
    <w:rsid w:val="0010618E"/>
    <w:rsid w:val="001103D7"/>
    <w:rsid w:val="00110AA3"/>
    <w:rsid w:val="00111819"/>
    <w:rsid w:val="0011194D"/>
    <w:rsid w:val="00112522"/>
    <w:rsid w:val="001125BF"/>
    <w:rsid w:val="00113C81"/>
    <w:rsid w:val="001157D3"/>
    <w:rsid w:val="00117860"/>
    <w:rsid w:val="00120E34"/>
    <w:rsid w:val="0012297F"/>
    <w:rsid w:val="00122FAE"/>
    <w:rsid w:val="001256A8"/>
    <w:rsid w:val="001273F2"/>
    <w:rsid w:val="00130625"/>
    <w:rsid w:val="001329C4"/>
    <w:rsid w:val="00135250"/>
    <w:rsid w:val="001402E6"/>
    <w:rsid w:val="0014045A"/>
    <w:rsid w:val="0014074A"/>
    <w:rsid w:val="001407F6"/>
    <w:rsid w:val="0014144C"/>
    <w:rsid w:val="00152607"/>
    <w:rsid w:val="0015271E"/>
    <w:rsid w:val="001528E5"/>
    <w:rsid w:val="00156A8B"/>
    <w:rsid w:val="00157613"/>
    <w:rsid w:val="00160D35"/>
    <w:rsid w:val="00161645"/>
    <w:rsid w:val="00165D21"/>
    <w:rsid w:val="00166BAD"/>
    <w:rsid w:val="00174C60"/>
    <w:rsid w:val="001767A8"/>
    <w:rsid w:val="00176A44"/>
    <w:rsid w:val="00180ABA"/>
    <w:rsid w:val="0018194D"/>
    <w:rsid w:val="00181D44"/>
    <w:rsid w:val="00184BCE"/>
    <w:rsid w:val="001864B0"/>
    <w:rsid w:val="00186A28"/>
    <w:rsid w:val="001879E7"/>
    <w:rsid w:val="00187F68"/>
    <w:rsid w:val="00191EDB"/>
    <w:rsid w:val="00195BAD"/>
    <w:rsid w:val="001961B5"/>
    <w:rsid w:val="00197B4A"/>
    <w:rsid w:val="001A033E"/>
    <w:rsid w:val="001A0940"/>
    <w:rsid w:val="001A4064"/>
    <w:rsid w:val="001A53D7"/>
    <w:rsid w:val="001B4A20"/>
    <w:rsid w:val="001B6F0C"/>
    <w:rsid w:val="001C08B0"/>
    <w:rsid w:val="001C2080"/>
    <w:rsid w:val="001C5088"/>
    <w:rsid w:val="001C6A1E"/>
    <w:rsid w:val="001C6A2B"/>
    <w:rsid w:val="001C7AB7"/>
    <w:rsid w:val="001D1D0F"/>
    <w:rsid w:val="001D3224"/>
    <w:rsid w:val="001D3B7E"/>
    <w:rsid w:val="001E0073"/>
    <w:rsid w:val="001E0D2F"/>
    <w:rsid w:val="001E2993"/>
    <w:rsid w:val="001E4F32"/>
    <w:rsid w:val="001E592C"/>
    <w:rsid w:val="001E63DF"/>
    <w:rsid w:val="001E7195"/>
    <w:rsid w:val="001F07F7"/>
    <w:rsid w:val="001F10A4"/>
    <w:rsid w:val="001F1B54"/>
    <w:rsid w:val="001F2CAB"/>
    <w:rsid w:val="001F381D"/>
    <w:rsid w:val="001F5A8A"/>
    <w:rsid w:val="001F6E3F"/>
    <w:rsid w:val="001F707E"/>
    <w:rsid w:val="002048EC"/>
    <w:rsid w:val="002101B3"/>
    <w:rsid w:val="00214802"/>
    <w:rsid w:val="0021649F"/>
    <w:rsid w:val="00217C0F"/>
    <w:rsid w:val="00220225"/>
    <w:rsid w:val="00223B03"/>
    <w:rsid w:val="0022640C"/>
    <w:rsid w:val="0022711C"/>
    <w:rsid w:val="00227651"/>
    <w:rsid w:val="00230CE6"/>
    <w:rsid w:val="00231020"/>
    <w:rsid w:val="00233AFE"/>
    <w:rsid w:val="00235D5F"/>
    <w:rsid w:val="00236E09"/>
    <w:rsid w:val="00237468"/>
    <w:rsid w:val="00242AF9"/>
    <w:rsid w:val="002435D0"/>
    <w:rsid w:val="00243F8F"/>
    <w:rsid w:val="00244203"/>
    <w:rsid w:val="00244300"/>
    <w:rsid w:val="00244669"/>
    <w:rsid w:val="002474A9"/>
    <w:rsid w:val="00252999"/>
    <w:rsid w:val="00252E9D"/>
    <w:rsid w:val="0025308A"/>
    <w:rsid w:val="0025601D"/>
    <w:rsid w:val="00257257"/>
    <w:rsid w:val="00257290"/>
    <w:rsid w:val="00257FF1"/>
    <w:rsid w:val="002604B9"/>
    <w:rsid w:val="00261D69"/>
    <w:rsid w:val="00262267"/>
    <w:rsid w:val="00262CB5"/>
    <w:rsid w:val="002638E5"/>
    <w:rsid w:val="00263EC9"/>
    <w:rsid w:val="00263F00"/>
    <w:rsid w:val="00264A68"/>
    <w:rsid w:val="00265244"/>
    <w:rsid w:val="00266BCA"/>
    <w:rsid w:val="002706DC"/>
    <w:rsid w:val="00271CE9"/>
    <w:rsid w:val="002725BB"/>
    <w:rsid w:val="00275F04"/>
    <w:rsid w:val="0028066C"/>
    <w:rsid w:val="002824B2"/>
    <w:rsid w:val="00282E57"/>
    <w:rsid w:val="00282F6A"/>
    <w:rsid w:val="002833CF"/>
    <w:rsid w:val="00283DEC"/>
    <w:rsid w:val="00284065"/>
    <w:rsid w:val="00285149"/>
    <w:rsid w:val="0029022C"/>
    <w:rsid w:val="00293471"/>
    <w:rsid w:val="002A008C"/>
    <w:rsid w:val="002A0576"/>
    <w:rsid w:val="002A17E0"/>
    <w:rsid w:val="002A2544"/>
    <w:rsid w:val="002A7557"/>
    <w:rsid w:val="002B1655"/>
    <w:rsid w:val="002B26F0"/>
    <w:rsid w:val="002B31D4"/>
    <w:rsid w:val="002C07DE"/>
    <w:rsid w:val="002C5C0E"/>
    <w:rsid w:val="002C614F"/>
    <w:rsid w:val="002C6836"/>
    <w:rsid w:val="002C7F2B"/>
    <w:rsid w:val="002D2F75"/>
    <w:rsid w:val="002D36E9"/>
    <w:rsid w:val="002D738A"/>
    <w:rsid w:val="002E0FB6"/>
    <w:rsid w:val="002E1597"/>
    <w:rsid w:val="002E2816"/>
    <w:rsid w:val="002E41DF"/>
    <w:rsid w:val="002E6DFA"/>
    <w:rsid w:val="002F1086"/>
    <w:rsid w:val="002F1557"/>
    <w:rsid w:val="002F1C2C"/>
    <w:rsid w:val="002F3EB6"/>
    <w:rsid w:val="002F438F"/>
    <w:rsid w:val="002F5EEF"/>
    <w:rsid w:val="003003CA"/>
    <w:rsid w:val="003017D2"/>
    <w:rsid w:val="00301FF8"/>
    <w:rsid w:val="00304201"/>
    <w:rsid w:val="00304D5F"/>
    <w:rsid w:val="003055FB"/>
    <w:rsid w:val="00305F51"/>
    <w:rsid w:val="00307452"/>
    <w:rsid w:val="003075D9"/>
    <w:rsid w:val="003077A4"/>
    <w:rsid w:val="003078AE"/>
    <w:rsid w:val="003144DF"/>
    <w:rsid w:val="00316C9A"/>
    <w:rsid w:val="00317BBE"/>
    <w:rsid w:val="00321104"/>
    <w:rsid w:val="003220FF"/>
    <w:rsid w:val="003231A8"/>
    <w:rsid w:val="0032568F"/>
    <w:rsid w:val="00327355"/>
    <w:rsid w:val="00331597"/>
    <w:rsid w:val="003317B2"/>
    <w:rsid w:val="003340BB"/>
    <w:rsid w:val="00336057"/>
    <w:rsid w:val="003431D8"/>
    <w:rsid w:val="00344FF3"/>
    <w:rsid w:val="00346EB0"/>
    <w:rsid w:val="00347692"/>
    <w:rsid w:val="00347CE1"/>
    <w:rsid w:val="00350F6A"/>
    <w:rsid w:val="0035301E"/>
    <w:rsid w:val="003546A0"/>
    <w:rsid w:val="00356063"/>
    <w:rsid w:val="00356F96"/>
    <w:rsid w:val="00357469"/>
    <w:rsid w:val="00364E4C"/>
    <w:rsid w:val="003657B2"/>
    <w:rsid w:val="00367175"/>
    <w:rsid w:val="00367ECD"/>
    <w:rsid w:val="00370BF4"/>
    <w:rsid w:val="0037169E"/>
    <w:rsid w:val="00371852"/>
    <w:rsid w:val="00372C80"/>
    <w:rsid w:val="00372DC7"/>
    <w:rsid w:val="003754CD"/>
    <w:rsid w:val="00375B6A"/>
    <w:rsid w:val="00375B89"/>
    <w:rsid w:val="00380667"/>
    <w:rsid w:val="00383C9F"/>
    <w:rsid w:val="003846F7"/>
    <w:rsid w:val="00385701"/>
    <w:rsid w:val="00386295"/>
    <w:rsid w:val="0038635F"/>
    <w:rsid w:val="003902F6"/>
    <w:rsid w:val="003909CD"/>
    <w:rsid w:val="00392A5E"/>
    <w:rsid w:val="003968A8"/>
    <w:rsid w:val="003A01DC"/>
    <w:rsid w:val="003A2EA1"/>
    <w:rsid w:val="003A329C"/>
    <w:rsid w:val="003A4636"/>
    <w:rsid w:val="003A6A32"/>
    <w:rsid w:val="003B2994"/>
    <w:rsid w:val="003B35D0"/>
    <w:rsid w:val="003B5363"/>
    <w:rsid w:val="003B7185"/>
    <w:rsid w:val="003C21E7"/>
    <w:rsid w:val="003C3995"/>
    <w:rsid w:val="003C480E"/>
    <w:rsid w:val="003D0992"/>
    <w:rsid w:val="003D1857"/>
    <w:rsid w:val="003D1F45"/>
    <w:rsid w:val="003D6683"/>
    <w:rsid w:val="003D6FF0"/>
    <w:rsid w:val="003E0C71"/>
    <w:rsid w:val="003E3236"/>
    <w:rsid w:val="003E3583"/>
    <w:rsid w:val="003E39B8"/>
    <w:rsid w:val="003E554C"/>
    <w:rsid w:val="003E5E95"/>
    <w:rsid w:val="003E699F"/>
    <w:rsid w:val="003E70FB"/>
    <w:rsid w:val="003F2CFF"/>
    <w:rsid w:val="003F5BC7"/>
    <w:rsid w:val="003F74B4"/>
    <w:rsid w:val="0040154D"/>
    <w:rsid w:val="0040342D"/>
    <w:rsid w:val="00403ACA"/>
    <w:rsid w:val="004045AE"/>
    <w:rsid w:val="00404747"/>
    <w:rsid w:val="00406F3B"/>
    <w:rsid w:val="0040799A"/>
    <w:rsid w:val="0041006C"/>
    <w:rsid w:val="00410D92"/>
    <w:rsid w:val="00411C41"/>
    <w:rsid w:val="004157DD"/>
    <w:rsid w:val="00415899"/>
    <w:rsid w:val="00420FC9"/>
    <w:rsid w:val="00421FE4"/>
    <w:rsid w:val="00422860"/>
    <w:rsid w:val="00422923"/>
    <w:rsid w:val="004243CC"/>
    <w:rsid w:val="00424D2A"/>
    <w:rsid w:val="00424DE9"/>
    <w:rsid w:val="00425990"/>
    <w:rsid w:val="00425B08"/>
    <w:rsid w:val="0042774A"/>
    <w:rsid w:val="00430025"/>
    <w:rsid w:val="0043068C"/>
    <w:rsid w:val="00431AD5"/>
    <w:rsid w:val="004334E0"/>
    <w:rsid w:val="00436C86"/>
    <w:rsid w:val="00442474"/>
    <w:rsid w:val="0044361E"/>
    <w:rsid w:val="00443757"/>
    <w:rsid w:val="004460BA"/>
    <w:rsid w:val="00446B28"/>
    <w:rsid w:val="0045181E"/>
    <w:rsid w:val="00453E55"/>
    <w:rsid w:val="00454511"/>
    <w:rsid w:val="004557DB"/>
    <w:rsid w:val="004558F5"/>
    <w:rsid w:val="0045590E"/>
    <w:rsid w:val="004559B1"/>
    <w:rsid w:val="00462A3C"/>
    <w:rsid w:val="00462D63"/>
    <w:rsid w:val="00466D5A"/>
    <w:rsid w:val="00475385"/>
    <w:rsid w:val="0047562B"/>
    <w:rsid w:val="00475B14"/>
    <w:rsid w:val="0048153E"/>
    <w:rsid w:val="0048396B"/>
    <w:rsid w:val="0048474B"/>
    <w:rsid w:val="00485174"/>
    <w:rsid w:val="00486EC6"/>
    <w:rsid w:val="00487CDA"/>
    <w:rsid w:val="004914D7"/>
    <w:rsid w:val="004915E3"/>
    <w:rsid w:val="00491AED"/>
    <w:rsid w:val="00493BE7"/>
    <w:rsid w:val="004970C3"/>
    <w:rsid w:val="004978F0"/>
    <w:rsid w:val="004A0052"/>
    <w:rsid w:val="004A2306"/>
    <w:rsid w:val="004A263F"/>
    <w:rsid w:val="004A433D"/>
    <w:rsid w:val="004A5BBC"/>
    <w:rsid w:val="004B1497"/>
    <w:rsid w:val="004B159F"/>
    <w:rsid w:val="004B2831"/>
    <w:rsid w:val="004B6CA6"/>
    <w:rsid w:val="004B7FE0"/>
    <w:rsid w:val="004C1FC5"/>
    <w:rsid w:val="004C2A6E"/>
    <w:rsid w:val="004C529B"/>
    <w:rsid w:val="004D009E"/>
    <w:rsid w:val="004D32AF"/>
    <w:rsid w:val="004E0174"/>
    <w:rsid w:val="004E0781"/>
    <w:rsid w:val="004E1CAC"/>
    <w:rsid w:val="004E257E"/>
    <w:rsid w:val="004F2721"/>
    <w:rsid w:val="004F2BA7"/>
    <w:rsid w:val="00500A35"/>
    <w:rsid w:val="00500E9B"/>
    <w:rsid w:val="005016D9"/>
    <w:rsid w:val="00501886"/>
    <w:rsid w:val="0050253D"/>
    <w:rsid w:val="00502629"/>
    <w:rsid w:val="00503149"/>
    <w:rsid w:val="005050A1"/>
    <w:rsid w:val="00506995"/>
    <w:rsid w:val="00507CD4"/>
    <w:rsid w:val="005102E2"/>
    <w:rsid w:val="00512C2F"/>
    <w:rsid w:val="00513792"/>
    <w:rsid w:val="00513CBD"/>
    <w:rsid w:val="00515415"/>
    <w:rsid w:val="0052215B"/>
    <w:rsid w:val="00522FA5"/>
    <w:rsid w:val="00525E4A"/>
    <w:rsid w:val="00526C0A"/>
    <w:rsid w:val="005310E4"/>
    <w:rsid w:val="0053144A"/>
    <w:rsid w:val="005316F9"/>
    <w:rsid w:val="0053343F"/>
    <w:rsid w:val="00533F51"/>
    <w:rsid w:val="00536251"/>
    <w:rsid w:val="0053716F"/>
    <w:rsid w:val="005375CE"/>
    <w:rsid w:val="005378DE"/>
    <w:rsid w:val="00537C42"/>
    <w:rsid w:val="00541231"/>
    <w:rsid w:val="00541F2E"/>
    <w:rsid w:val="00542436"/>
    <w:rsid w:val="00546C36"/>
    <w:rsid w:val="00547735"/>
    <w:rsid w:val="0055311C"/>
    <w:rsid w:val="005615DE"/>
    <w:rsid w:val="005645D3"/>
    <w:rsid w:val="005663BA"/>
    <w:rsid w:val="00566CBB"/>
    <w:rsid w:val="00566CFF"/>
    <w:rsid w:val="00573C63"/>
    <w:rsid w:val="00576723"/>
    <w:rsid w:val="00583A49"/>
    <w:rsid w:val="00583D71"/>
    <w:rsid w:val="00583F3D"/>
    <w:rsid w:val="0058581B"/>
    <w:rsid w:val="00587496"/>
    <w:rsid w:val="005877C4"/>
    <w:rsid w:val="005943B0"/>
    <w:rsid w:val="005963E8"/>
    <w:rsid w:val="005A18A4"/>
    <w:rsid w:val="005A19DA"/>
    <w:rsid w:val="005A22FC"/>
    <w:rsid w:val="005A4766"/>
    <w:rsid w:val="005A63F1"/>
    <w:rsid w:val="005A6846"/>
    <w:rsid w:val="005A7181"/>
    <w:rsid w:val="005B1105"/>
    <w:rsid w:val="005B1829"/>
    <w:rsid w:val="005B5D00"/>
    <w:rsid w:val="005C00AC"/>
    <w:rsid w:val="005C4016"/>
    <w:rsid w:val="005C4345"/>
    <w:rsid w:val="005C466D"/>
    <w:rsid w:val="005C6677"/>
    <w:rsid w:val="005C789B"/>
    <w:rsid w:val="005D15E5"/>
    <w:rsid w:val="005D2F52"/>
    <w:rsid w:val="005D340F"/>
    <w:rsid w:val="005D4E6B"/>
    <w:rsid w:val="005E117E"/>
    <w:rsid w:val="005E12B4"/>
    <w:rsid w:val="005E7B12"/>
    <w:rsid w:val="005E7BCC"/>
    <w:rsid w:val="005F5262"/>
    <w:rsid w:val="005F65A7"/>
    <w:rsid w:val="00600DF2"/>
    <w:rsid w:val="00601283"/>
    <w:rsid w:val="006016E0"/>
    <w:rsid w:val="00602428"/>
    <w:rsid w:val="0060469C"/>
    <w:rsid w:val="006053DE"/>
    <w:rsid w:val="006056D8"/>
    <w:rsid w:val="00606612"/>
    <w:rsid w:val="006069DE"/>
    <w:rsid w:val="0061481E"/>
    <w:rsid w:val="00616EC6"/>
    <w:rsid w:val="00630F73"/>
    <w:rsid w:val="006317B1"/>
    <w:rsid w:val="00633632"/>
    <w:rsid w:val="006341BD"/>
    <w:rsid w:val="006347BE"/>
    <w:rsid w:val="00636C1F"/>
    <w:rsid w:val="00640BEA"/>
    <w:rsid w:val="00641FD5"/>
    <w:rsid w:val="0064263E"/>
    <w:rsid w:val="0064330C"/>
    <w:rsid w:val="00644D0F"/>
    <w:rsid w:val="006452D5"/>
    <w:rsid w:val="006456C7"/>
    <w:rsid w:val="00653FC4"/>
    <w:rsid w:val="00655645"/>
    <w:rsid w:val="006558D7"/>
    <w:rsid w:val="00655CB3"/>
    <w:rsid w:val="00661540"/>
    <w:rsid w:val="00662357"/>
    <w:rsid w:val="00664D6E"/>
    <w:rsid w:val="006661A4"/>
    <w:rsid w:val="0066764A"/>
    <w:rsid w:val="00670896"/>
    <w:rsid w:val="006712A2"/>
    <w:rsid w:val="006712F1"/>
    <w:rsid w:val="00673ED1"/>
    <w:rsid w:val="006741D0"/>
    <w:rsid w:val="006752A0"/>
    <w:rsid w:val="00675735"/>
    <w:rsid w:val="00675E52"/>
    <w:rsid w:val="006767F6"/>
    <w:rsid w:val="006800A2"/>
    <w:rsid w:val="00680CC4"/>
    <w:rsid w:val="00680EEC"/>
    <w:rsid w:val="0068128E"/>
    <w:rsid w:val="00683021"/>
    <w:rsid w:val="006830A1"/>
    <w:rsid w:val="0068367F"/>
    <w:rsid w:val="00683DDF"/>
    <w:rsid w:val="00687999"/>
    <w:rsid w:val="00691BBB"/>
    <w:rsid w:val="00692295"/>
    <w:rsid w:val="006931D7"/>
    <w:rsid w:val="00693D59"/>
    <w:rsid w:val="00696EEA"/>
    <w:rsid w:val="00697D56"/>
    <w:rsid w:val="006A0741"/>
    <w:rsid w:val="006A0B45"/>
    <w:rsid w:val="006A3DC1"/>
    <w:rsid w:val="006A54FE"/>
    <w:rsid w:val="006A5644"/>
    <w:rsid w:val="006A5946"/>
    <w:rsid w:val="006A71EB"/>
    <w:rsid w:val="006B2085"/>
    <w:rsid w:val="006B2F44"/>
    <w:rsid w:val="006B4021"/>
    <w:rsid w:val="006C2955"/>
    <w:rsid w:val="006C32BC"/>
    <w:rsid w:val="006C4663"/>
    <w:rsid w:val="006C4D2A"/>
    <w:rsid w:val="006C7755"/>
    <w:rsid w:val="006D3608"/>
    <w:rsid w:val="006D3828"/>
    <w:rsid w:val="006D5FAB"/>
    <w:rsid w:val="006D7125"/>
    <w:rsid w:val="006E016E"/>
    <w:rsid w:val="006E1550"/>
    <w:rsid w:val="006E2F2B"/>
    <w:rsid w:val="006F1A60"/>
    <w:rsid w:val="006F34CA"/>
    <w:rsid w:val="006F7B0F"/>
    <w:rsid w:val="00700C1A"/>
    <w:rsid w:val="00701E8B"/>
    <w:rsid w:val="00703005"/>
    <w:rsid w:val="00705A0B"/>
    <w:rsid w:val="00706CF8"/>
    <w:rsid w:val="007070E3"/>
    <w:rsid w:val="007101F0"/>
    <w:rsid w:val="007122D3"/>
    <w:rsid w:val="00714D11"/>
    <w:rsid w:val="00717D8B"/>
    <w:rsid w:val="00723332"/>
    <w:rsid w:val="00726CCC"/>
    <w:rsid w:val="00727554"/>
    <w:rsid w:val="00730019"/>
    <w:rsid w:val="00730AB1"/>
    <w:rsid w:val="00731E6E"/>
    <w:rsid w:val="00733B6B"/>
    <w:rsid w:val="00735BA5"/>
    <w:rsid w:val="00742F59"/>
    <w:rsid w:val="007440E6"/>
    <w:rsid w:val="007445DB"/>
    <w:rsid w:val="00751470"/>
    <w:rsid w:val="00751C5E"/>
    <w:rsid w:val="00754851"/>
    <w:rsid w:val="007570BB"/>
    <w:rsid w:val="00757139"/>
    <w:rsid w:val="007613AA"/>
    <w:rsid w:val="007615A8"/>
    <w:rsid w:val="007619F1"/>
    <w:rsid w:val="00761E7F"/>
    <w:rsid w:val="007629D1"/>
    <w:rsid w:val="00762B16"/>
    <w:rsid w:val="007641FC"/>
    <w:rsid w:val="00764392"/>
    <w:rsid w:val="00765EEB"/>
    <w:rsid w:val="0077586D"/>
    <w:rsid w:val="00776FD3"/>
    <w:rsid w:val="007800CF"/>
    <w:rsid w:val="00781E90"/>
    <w:rsid w:val="007843B7"/>
    <w:rsid w:val="007849C7"/>
    <w:rsid w:val="007859FF"/>
    <w:rsid w:val="00790422"/>
    <w:rsid w:val="0079150F"/>
    <w:rsid w:val="00792174"/>
    <w:rsid w:val="00793F0B"/>
    <w:rsid w:val="00794CC2"/>
    <w:rsid w:val="007953B5"/>
    <w:rsid w:val="007977A7"/>
    <w:rsid w:val="007A1588"/>
    <w:rsid w:val="007A1958"/>
    <w:rsid w:val="007A1D16"/>
    <w:rsid w:val="007A33B2"/>
    <w:rsid w:val="007A4D8F"/>
    <w:rsid w:val="007B05DB"/>
    <w:rsid w:val="007B08DC"/>
    <w:rsid w:val="007B12C5"/>
    <w:rsid w:val="007B346A"/>
    <w:rsid w:val="007B3549"/>
    <w:rsid w:val="007B6CDF"/>
    <w:rsid w:val="007C118E"/>
    <w:rsid w:val="007C2D12"/>
    <w:rsid w:val="007C2D50"/>
    <w:rsid w:val="007C450C"/>
    <w:rsid w:val="007C6C72"/>
    <w:rsid w:val="007C7FA8"/>
    <w:rsid w:val="007D1C86"/>
    <w:rsid w:val="007D3361"/>
    <w:rsid w:val="007D3431"/>
    <w:rsid w:val="007D5328"/>
    <w:rsid w:val="007E0353"/>
    <w:rsid w:val="007E0FF7"/>
    <w:rsid w:val="007E2391"/>
    <w:rsid w:val="007E2DD9"/>
    <w:rsid w:val="007E4B90"/>
    <w:rsid w:val="007E7604"/>
    <w:rsid w:val="007F13DC"/>
    <w:rsid w:val="007F229E"/>
    <w:rsid w:val="007F396F"/>
    <w:rsid w:val="007F3ED7"/>
    <w:rsid w:val="007F4318"/>
    <w:rsid w:val="007F5490"/>
    <w:rsid w:val="00800A7E"/>
    <w:rsid w:val="0080263A"/>
    <w:rsid w:val="00805E84"/>
    <w:rsid w:val="00810596"/>
    <w:rsid w:val="0081213C"/>
    <w:rsid w:val="00813DCB"/>
    <w:rsid w:val="00814590"/>
    <w:rsid w:val="008179D0"/>
    <w:rsid w:val="008214A4"/>
    <w:rsid w:val="00822952"/>
    <w:rsid w:val="00823323"/>
    <w:rsid w:val="00823F06"/>
    <w:rsid w:val="00825E3B"/>
    <w:rsid w:val="00830EE4"/>
    <w:rsid w:val="00831DEF"/>
    <w:rsid w:val="0083206E"/>
    <w:rsid w:val="0083236B"/>
    <w:rsid w:val="0083252B"/>
    <w:rsid w:val="008328E4"/>
    <w:rsid w:val="008356FF"/>
    <w:rsid w:val="00836907"/>
    <w:rsid w:val="00841023"/>
    <w:rsid w:val="00841A10"/>
    <w:rsid w:val="0084235F"/>
    <w:rsid w:val="008440F9"/>
    <w:rsid w:val="0084441C"/>
    <w:rsid w:val="00846354"/>
    <w:rsid w:val="00847436"/>
    <w:rsid w:val="00850495"/>
    <w:rsid w:val="00850EC5"/>
    <w:rsid w:val="00851796"/>
    <w:rsid w:val="00852CCF"/>
    <w:rsid w:val="00860FA0"/>
    <w:rsid w:val="0087110B"/>
    <w:rsid w:val="00872CE0"/>
    <w:rsid w:val="008805E7"/>
    <w:rsid w:val="00880919"/>
    <w:rsid w:val="00885CBF"/>
    <w:rsid w:val="00887F44"/>
    <w:rsid w:val="008922A1"/>
    <w:rsid w:val="00894AB5"/>
    <w:rsid w:val="00896111"/>
    <w:rsid w:val="0089637F"/>
    <w:rsid w:val="008974FB"/>
    <w:rsid w:val="008A0540"/>
    <w:rsid w:val="008A056B"/>
    <w:rsid w:val="008A0CEB"/>
    <w:rsid w:val="008A1349"/>
    <w:rsid w:val="008A3161"/>
    <w:rsid w:val="008A422D"/>
    <w:rsid w:val="008A430D"/>
    <w:rsid w:val="008A56FE"/>
    <w:rsid w:val="008A6DB1"/>
    <w:rsid w:val="008B33E8"/>
    <w:rsid w:val="008C0317"/>
    <w:rsid w:val="008C1A9C"/>
    <w:rsid w:val="008C4238"/>
    <w:rsid w:val="008C4B7D"/>
    <w:rsid w:val="008C54D0"/>
    <w:rsid w:val="008C57FA"/>
    <w:rsid w:val="008C5917"/>
    <w:rsid w:val="008D2FB6"/>
    <w:rsid w:val="008D4BC1"/>
    <w:rsid w:val="008D5D99"/>
    <w:rsid w:val="008D62C4"/>
    <w:rsid w:val="008D72F8"/>
    <w:rsid w:val="008E0401"/>
    <w:rsid w:val="008E19F1"/>
    <w:rsid w:val="008E26B8"/>
    <w:rsid w:val="008E3775"/>
    <w:rsid w:val="008E4A4A"/>
    <w:rsid w:val="008E50F9"/>
    <w:rsid w:val="008E71C8"/>
    <w:rsid w:val="008F0944"/>
    <w:rsid w:val="008F0B72"/>
    <w:rsid w:val="008F0CB3"/>
    <w:rsid w:val="008F149D"/>
    <w:rsid w:val="008F2FF0"/>
    <w:rsid w:val="008F51B6"/>
    <w:rsid w:val="008F6B0B"/>
    <w:rsid w:val="008F6EB7"/>
    <w:rsid w:val="008F7FC7"/>
    <w:rsid w:val="00903862"/>
    <w:rsid w:val="00904D88"/>
    <w:rsid w:val="009059D3"/>
    <w:rsid w:val="009060B1"/>
    <w:rsid w:val="00906A06"/>
    <w:rsid w:val="00906CF9"/>
    <w:rsid w:val="00907D95"/>
    <w:rsid w:val="009111F7"/>
    <w:rsid w:val="00914CE2"/>
    <w:rsid w:val="009164A8"/>
    <w:rsid w:val="00917A39"/>
    <w:rsid w:val="0092098F"/>
    <w:rsid w:val="00920E24"/>
    <w:rsid w:val="00921CEC"/>
    <w:rsid w:val="00923C4C"/>
    <w:rsid w:val="0092759C"/>
    <w:rsid w:val="00927881"/>
    <w:rsid w:val="00932194"/>
    <w:rsid w:val="00932299"/>
    <w:rsid w:val="00935CA7"/>
    <w:rsid w:val="00942C5D"/>
    <w:rsid w:val="009431CE"/>
    <w:rsid w:val="009434F5"/>
    <w:rsid w:val="0094510B"/>
    <w:rsid w:val="009478FA"/>
    <w:rsid w:val="00952A37"/>
    <w:rsid w:val="0095360A"/>
    <w:rsid w:val="0095396C"/>
    <w:rsid w:val="00955FF1"/>
    <w:rsid w:val="0096361A"/>
    <w:rsid w:val="00963D4D"/>
    <w:rsid w:val="00965D3C"/>
    <w:rsid w:val="009674E2"/>
    <w:rsid w:val="009704E8"/>
    <w:rsid w:val="009752F1"/>
    <w:rsid w:val="0097772A"/>
    <w:rsid w:val="00977EA2"/>
    <w:rsid w:val="00980933"/>
    <w:rsid w:val="009815D1"/>
    <w:rsid w:val="0098400F"/>
    <w:rsid w:val="009847F2"/>
    <w:rsid w:val="00986FC8"/>
    <w:rsid w:val="009903A3"/>
    <w:rsid w:val="0099205D"/>
    <w:rsid w:val="009925D3"/>
    <w:rsid w:val="009931BD"/>
    <w:rsid w:val="0099391B"/>
    <w:rsid w:val="00993CB4"/>
    <w:rsid w:val="00993E75"/>
    <w:rsid w:val="00994258"/>
    <w:rsid w:val="009961AF"/>
    <w:rsid w:val="00997332"/>
    <w:rsid w:val="00997ED7"/>
    <w:rsid w:val="009A1541"/>
    <w:rsid w:val="009A19B4"/>
    <w:rsid w:val="009A2F0C"/>
    <w:rsid w:val="009A559F"/>
    <w:rsid w:val="009A56AB"/>
    <w:rsid w:val="009A57DB"/>
    <w:rsid w:val="009A7ECB"/>
    <w:rsid w:val="009B01ED"/>
    <w:rsid w:val="009B1160"/>
    <w:rsid w:val="009B25D5"/>
    <w:rsid w:val="009B7144"/>
    <w:rsid w:val="009C0295"/>
    <w:rsid w:val="009C3340"/>
    <w:rsid w:val="009C33FD"/>
    <w:rsid w:val="009C6566"/>
    <w:rsid w:val="009C79B1"/>
    <w:rsid w:val="009D3468"/>
    <w:rsid w:val="009D3B11"/>
    <w:rsid w:val="009D3B7C"/>
    <w:rsid w:val="009D47A9"/>
    <w:rsid w:val="009D7E6E"/>
    <w:rsid w:val="009E194E"/>
    <w:rsid w:val="009E2379"/>
    <w:rsid w:val="009E310F"/>
    <w:rsid w:val="009E3CD8"/>
    <w:rsid w:val="009E4711"/>
    <w:rsid w:val="009E6755"/>
    <w:rsid w:val="009E7274"/>
    <w:rsid w:val="009F3F85"/>
    <w:rsid w:val="00A013D6"/>
    <w:rsid w:val="00A01F07"/>
    <w:rsid w:val="00A05776"/>
    <w:rsid w:val="00A16E9C"/>
    <w:rsid w:val="00A216BD"/>
    <w:rsid w:val="00A24C42"/>
    <w:rsid w:val="00A2600F"/>
    <w:rsid w:val="00A331D1"/>
    <w:rsid w:val="00A336ED"/>
    <w:rsid w:val="00A33DAC"/>
    <w:rsid w:val="00A348D5"/>
    <w:rsid w:val="00A34AE9"/>
    <w:rsid w:val="00A36EAF"/>
    <w:rsid w:val="00A4085B"/>
    <w:rsid w:val="00A40FAF"/>
    <w:rsid w:val="00A42D9F"/>
    <w:rsid w:val="00A43B02"/>
    <w:rsid w:val="00A43BFA"/>
    <w:rsid w:val="00A45CD4"/>
    <w:rsid w:val="00A46857"/>
    <w:rsid w:val="00A50283"/>
    <w:rsid w:val="00A510C6"/>
    <w:rsid w:val="00A52466"/>
    <w:rsid w:val="00A52485"/>
    <w:rsid w:val="00A52858"/>
    <w:rsid w:val="00A5369E"/>
    <w:rsid w:val="00A56894"/>
    <w:rsid w:val="00A62E3D"/>
    <w:rsid w:val="00A70CFF"/>
    <w:rsid w:val="00A83188"/>
    <w:rsid w:val="00A84CC4"/>
    <w:rsid w:val="00A85534"/>
    <w:rsid w:val="00A85AFE"/>
    <w:rsid w:val="00A87965"/>
    <w:rsid w:val="00A900C9"/>
    <w:rsid w:val="00A92125"/>
    <w:rsid w:val="00A926AD"/>
    <w:rsid w:val="00A92824"/>
    <w:rsid w:val="00A9294C"/>
    <w:rsid w:val="00A9566F"/>
    <w:rsid w:val="00A96FAC"/>
    <w:rsid w:val="00A97379"/>
    <w:rsid w:val="00AA135C"/>
    <w:rsid w:val="00AA178F"/>
    <w:rsid w:val="00AA19BE"/>
    <w:rsid w:val="00AA29D5"/>
    <w:rsid w:val="00AA3559"/>
    <w:rsid w:val="00AA3A39"/>
    <w:rsid w:val="00AA3B10"/>
    <w:rsid w:val="00AA3DB5"/>
    <w:rsid w:val="00AA3EA9"/>
    <w:rsid w:val="00AA5FAE"/>
    <w:rsid w:val="00AB3539"/>
    <w:rsid w:val="00AB65A4"/>
    <w:rsid w:val="00AB6BE9"/>
    <w:rsid w:val="00AC0D4B"/>
    <w:rsid w:val="00AC34CB"/>
    <w:rsid w:val="00AC686A"/>
    <w:rsid w:val="00AC6BF3"/>
    <w:rsid w:val="00AC76E8"/>
    <w:rsid w:val="00AC7E13"/>
    <w:rsid w:val="00AC7E1E"/>
    <w:rsid w:val="00AD093F"/>
    <w:rsid w:val="00AD564A"/>
    <w:rsid w:val="00AD73DB"/>
    <w:rsid w:val="00AE317A"/>
    <w:rsid w:val="00AE3756"/>
    <w:rsid w:val="00AE3821"/>
    <w:rsid w:val="00AE6D6B"/>
    <w:rsid w:val="00AF061B"/>
    <w:rsid w:val="00AF0EB0"/>
    <w:rsid w:val="00AF34DE"/>
    <w:rsid w:val="00AF54C3"/>
    <w:rsid w:val="00AF750A"/>
    <w:rsid w:val="00B01D3F"/>
    <w:rsid w:val="00B01DC4"/>
    <w:rsid w:val="00B02390"/>
    <w:rsid w:val="00B02EC5"/>
    <w:rsid w:val="00B033F1"/>
    <w:rsid w:val="00B03427"/>
    <w:rsid w:val="00B078EB"/>
    <w:rsid w:val="00B10447"/>
    <w:rsid w:val="00B13037"/>
    <w:rsid w:val="00B15773"/>
    <w:rsid w:val="00B20D2D"/>
    <w:rsid w:val="00B20DE3"/>
    <w:rsid w:val="00B20E04"/>
    <w:rsid w:val="00B31094"/>
    <w:rsid w:val="00B313B3"/>
    <w:rsid w:val="00B31DC7"/>
    <w:rsid w:val="00B332F8"/>
    <w:rsid w:val="00B372F2"/>
    <w:rsid w:val="00B37C05"/>
    <w:rsid w:val="00B40E48"/>
    <w:rsid w:val="00B44B63"/>
    <w:rsid w:val="00B46AE5"/>
    <w:rsid w:val="00B47211"/>
    <w:rsid w:val="00B477F3"/>
    <w:rsid w:val="00B479A2"/>
    <w:rsid w:val="00B47EE6"/>
    <w:rsid w:val="00B50125"/>
    <w:rsid w:val="00B510F7"/>
    <w:rsid w:val="00B539D9"/>
    <w:rsid w:val="00B54C95"/>
    <w:rsid w:val="00B556B5"/>
    <w:rsid w:val="00B557E3"/>
    <w:rsid w:val="00B57186"/>
    <w:rsid w:val="00B61D5E"/>
    <w:rsid w:val="00B6252D"/>
    <w:rsid w:val="00B66F07"/>
    <w:rsid w:val="00B71023"/>
    <w:rsid w:val="00B71A76"/>
    <w:rsid w:val="00B7368D"/>
    <w:rsid w:val="00B744BA"/>
    <w:rsid w:val="00B74E30"/>
    <w:rsid w:val="00B82429"/>
    <w:rsid w:val="00B82C14"/>
    <w:rsid w:val="00B8350B"/>
    <w:rsid w:val="00B83E7A"/>
    <w:rsid w:val="00B858AC"/>
    <w:rsid w:val="00B86553"/>
    <w:rsid w:val="00B9347F"/>
    <w:rsid w:val="00B94DDB"/>
    <w:rsid w:val="00B95CBD"/>
    <w:rsid w:val="00B964E1"/>
    <w:rsid w:val="00BA0493"/>
    <w:rsid w:val="00BA1302"/>
    <w:rsid w:val="00BA2364"/>
    <w:rsid w:val="00BA23A2"/>
    <w:rsid w:val="00BA33A9"/>
    <w:rsid w:val="00BA3E2A"/>
    <w:rsid w:val="00BA4C26"/>
    <w:rsid w:val="00BA580B"/>
    <w:rsid w:val="00BA6643"/>
    <w:rsid w:val="00BA7049"/>
    <w:rsid w:val="00BB26BC"/>
    <w:rsid w:val="00BB3D85"/>
    <w:rsid w:val="00BB5658"/>
    <w:rsid w:val="00BB7483"/>
    <w:rsid w:val="00BB7BDB"/>
    <w:rsid w:val="00BB7EE0"/>
    <w:rsid w:val="00BC1F99"/>
    <w:rsid w:val="00BC2C36"/>
    <w:rsid w:val="00BC4871"/>
    <w:rsid w:val="00BC4D5D"/>
    <w:rsid w:val="00BC7CD5"/>
    <w:rsid w:val="00BD06A0"/>
    <w:rsid w:val="00BD25B6"/>
    <w:rsid w:val="00BD5761"/>
    <w:rsid w:val="00BD6759"/>
    <w:rsid w:val="00BD6D76"/>
    <w:rsid w:val="00BE0CC0"/>
    <w:rsid w:val="00BE1321"/>
    <w:rsid w:val="00BE1B2C"/>
    <w:rsid w:val="00BE200A"/>
    <w:rsid w:val="00BF00C1"/>
    <w:rsid w:val="00BF312A"/>
    <w:rsid w:val="00BF4212"/>
    <w:rsid w:val="00BF5FDD"/>
    <w:rsid w:val="00BF7134"/>
    <w:rsid w:val="00C06738"/>
    <w:rsid w:val="00C11DF3"/>
    <w:rsid w:val="00C11EC1"/>
    <w:rsid w:val="00C12906"/>
    <w:rsid w:val="00C12B68"/>
    <w:rsid w:val="00C14991"/>
    <w:rsid w:val="00C165A1"/>
    <w:rsid w:val="00C22FB5"/>
    <w:rsid w:val="00C23C59"/>
    <w:rsid w:val="00C33173"/>
    <w:rsid w:val="00C35F43"/>
    <w:rsid w:val="00C423BA"/>
    <w:rsid w:val="00C45ACD"/>
    <w:rsid w:val="00C4611C"/>
    <w:rsid w:val="00C47153"/>
    <w:rsid w:val="00C50D1D"/>
    <w:rsid w:val="00C52A30"/>
    <w:rsid w:val="00C53C69"/>
    <w:rsid w:val="00C53DCD"/>
    <w:rsid w:val="00C54522"/>
    <w:rsid w:val="00C558E6"/>
    <w:rsid w:val="00C56A16"/>
    <w:rsid w:val="00C56F90"/>
    <w:rsid w:val="00C62071"/>
    <w:rsid w:val="00C62A1C"/>
    <w:rsid w:val="00C645D3"/>
    <w:rsid w:val="00C654F1"/>
    <w:rsid w:val="00C67539"/>
    <w:rsid w:val="00C71166"/>
    <w:rsid w:val="00C71788"/>
    <w:rsid w:val="00C72DD1"/>
    <w:rsid w:val="00C73A35"/>
    <w:rsid w:val="00C74BE1"/>
    <w:rsid w:val="00C758D2"/>
    <w:rsid w:val="00C778A3"/>
    <w:rsid w:val="00C7796A"/>
    <w:rsid w:val="00C815BF"/>
    <w:rsid w:val="00C826B3"/>
    <w:rsid w:val="00C8760A"/>
    <w:rsid w:val="00C91775"/>
    <w:rsid w:val="00C934D1"/>
    <w:rsid w:val="00C95622"/>
    <w:rsid w:val="00C9597D"/>
    <w:rsid w:val="00C96695"/>
    <w:rsid w:val="00CA1E5E"/>
    <w:rsid w:val="00CA35F2"/>
    <w:rsid w:val="00CA4768"/>
    <w:rsid w:val="00CA5825"/>
    <w:rsid w:val="00CA6DCC"/>
    <w:rsid w:val="00CB035C"/>
    <w:rsid w:val="00CB1B17"/>
    <w:rsid w:val="00CB6585"/>
    <w:rsid w:val="00CB7291"/>
    <w:rsid w:val="00CB78D1"/>
    <w:rsid w:val="00CB78EF"/>
    <w:rsid w:val="00CC658E"/>
    <w:rsid w:val="00CC686C"/>
    <w:rsid w:val="00CC738B"/>
    <w:rsid w:val="00CD07B0"/>
    <w:rsid w:val="00CD0F11"/>
    <w:rsid w:val="00CD3D3E"/>
    <w:rsid w:val="00CD49CE"/>
    <w:rsid w:val="00CD5E38"/>
    <w:rsid w:val="00CE5733"/>
    <w:rsid w:val="00CE6621"/>
    <w:rsid w:val="00CE69EB"/>
    <w:rsid w:val="00CE6A29"/>
    <w:rsid w:val="00CE7A1D"/>
    <w:rsid w:val="00CE7EBD"/>
    <w:rsid w:val="00CE7FD8"/>
    <w:rsid w:val="00CF7D09"/>
    <w:rsid w:val="00D00074"/>
    <w:rsid w:val="00D004DE"/>
    <w:rsid w:val="00D054B6"/>
    <w:rsid w:val="00D157AF"/>
    <w:rsid w:val="00D175A3"/>
    <w:rsid w:val="00D175E6"/>
    <w:rsid w:val="00D21C5B"/>
    <w:rsid w:val="00D2387A"/>
    <w:rsid w:val="00D2477F"/>
    <w:rsid w:val="00D32E09"/>
    <w:rsid w:val="00D33903"/>
    <w:rsid w:val="00D33981"/>
    <w:rsid w:val="00D35E3F"/>
    <w:rsid w:val="00D3724C"/>
    <w:rsid w:val="00D377CD"/>
    <w:rsid w:val="00D40254"/>
    <w:rsid w:val="00D40B9B"/>
    <w:rsid w:val="00D40ED4"/>
    <w:rsid w:val="00D41C19"/>
    <w:rsid w:val="00D447B9"/>
    <w:rsid w:val="00D46AD2"/>
    <w:rsid w:val="00D46D3E"/>
    <w:rsid w:val="00D47F1E"/>
    <w:rsid w:val="00D52469"/>
    <w:rsid w:val="00D543EF"/>
    <w:rsid w:val="00D5598F"/>
    <w:rsid w:val="00D56691"/>
    <w:rsid w:val="00D61521"/>
    <w:rsid w:val="00D61D7B"/>
    <w:rsid w:val="00D62543"/>
    <w:rsid w:val="00D629C4"/>
    <w:rsid w:val="00D649E5"/>
    <w:rsid w:val="00D6752B"/>
    <w:rsid w:val="00D700B0"/>
    <w:rsid w:val="00D70362"/>
    <w:rsid w:val="00D72A76"/>
    <w:rsid w:val="00D75720"/>
    <w:rsid w:val="00D771DD"/>
    <w:rsid w:val="00D805F6"/>
    <w:rsid w:val="00D81485"/>
    <w:rsid w:val="00D84918"/>
    <w:rsid w:val="00D859F3"/>
    <w:rsid w:val="00D868BD"/>
    <w:rsid w:val="00D93E8A"/>
    <w:rsid w:val="00D95EF5"/>
    <w:rsid w:val="00D96D4D"/>
    <w:rsid w:val="00DA255D"/>
    <w:rsid w:val="00DA46EA"/>
    <w:rsid w:val="00DA473D"/>
    <w:rsid w:val="00DA5311"/>
    <w:rsid w:val="00DA5EE0"/>
    <w:rsid w:val="00DA7F92"/>
    <w:rsid w:val="00DB142F"/>
    <w:rsid w:val="00DB1DD6"/>
    <w:rsid w:val="00DB34D7"/>
    <w:rsid w:val="00DB361F"/>
    <w:rsid w:val="00DB3B40"/>
    <w:rsid w:val="00DB4665"/>
    <w:rsid w:val="00DB54D4"/>
    <w:rsid w:val="00DB5600"/>
    <w:rsid w:val="00DB7DF8"/>
    <w:rsid w:val="00DC1199"/>
    <w:rsid w:val="00DC16CA"/>
    <w:rsid w:val="00DC663A"/>
    <w:rsid w:val="00DD0496"/>
    <w:rsid w:val="00DD16EF"/>
    <w:rsid w:val="00DE0F1D"/>
    <w:rsid w:val="00DE4196"/>
    <w:rsid w:val="00DE4E0A"/>
    <w:rsid w:val="00DE63D8"/>
    <w:rsid w:val="00DF01F0"/>
    <w:rsid w:val="00DF1F97"/>
    <w:rsid w:val="00DF461B"/>
    <w:rsid w:val="00DF4DB7"/>
    <w:rsid w:val="00DF5248"/>
    <w:rsid w:val="00DF69E3"/>
    <w:rsid w:val="00DF785F"/>
    <w:rsid w:val="00E012E9"/>
    <w:rsid w:val="00E02AFA"/>
    <w:rsid w:val="00E0374D"/>
    <w:rsid w:val="00E03A0F"/>
    <w:rsid w:val="00E03B9B"/>
    <w:rsid w:val="00E0434C"/>
    <w:rsid w:val="00E059BE"/>
    <w:rsid w:val="00E05C58"/>
    <w:rsid w:val="00E070B4"/>
    <w:rsid w:val="00E14B21"/>
    <w:rsid w:val="00E15AE5"/>
    <w:rsid w:val="00E209E7"/>
    <w:rsid w:val="00E2321E"/>
    <w:rsid w:val="00E30B66"/>
    <w:rsid w:val="00E3211D"/>
    <w:rsid w:val="00E3776E"/>
    <w:rsid w:val="00E37AF0"/>
    <w:rsid w:val="00E4067B"/>
    <w:rsid w:val="00E41F27"/>
    <w:rsid w:val="00E44FD7"/>
    <w:rsid w:val="00E47237"/>
    <w:rsid w:val="00E54008"/>
    <w:rsid w:val="00E6089D"/>
    <w:rsid w:val="00E60B6E"/>
    <w:rsid w:val="00E611B7"/>
    <w:rsid w:val="00E617E9"/>
    <w:rsid w:val="00E61E33"/>
    <w:rsid w:val="00E626F9"/>
    <w:rsid w:val="00E672FA"/>
    <w:rsid w:val="00E7092E"/>
    <w:rsid w:val="00E74456"/>
    <w:rsid w:val="00E76502"/>
    <w:rsid w:val="00E87BB9"/>
    <w:rsid w:val="00E91361"/>
    <w:rsid w:val="00E93790"/>
    <w:rsid w:val="00E952C0"/>
    <w:rsid w:val="00EA09A7"/>
    <w:rsid w:val="00EA1C64"/>
    <w:rsid w:val="00EA229F"/>
    <w:rsid w:val="00EA449F"/>
    <w:rsid w:val="00EA51E5"/>
    <w:rsid w:val="00EA5253"/>
    <w:rsid w:val="00EB0239"/>
    <w:rsid w:val="00EB0DCB"/>
    <w:rsid w:val="00EB5698"/>
    <w:rsid w:val="00EB640D"/>
    <w:rsid w:val="00EC272E"/>
    <w:rsid w:val="00EC53CC"/>
    <w:rsid w:val="00EC558A"/>
    <w:rsid w:val="00EC6822"/>
    <w:rsid w:val="00EC7CC1"/>
    <w:rsid w:val="00ED450A"/>
    <w:rsid w:val="00ED5199"/>
    <w:rsid w:val="00ED51FD"/>
    <w:rsid w:val="00EE499C"/>
    <w:rsid w:val="00EE4B26"/>
    <w:rsid w:val="00EE50D3"/>
    <w:rsid w:val="00EE5BDE"/>
    <w:rsid w:val="00EE6FB0"/>
    <w:rsid w:val="00EE719A"/>
    <w:rsid w:val="00EF1FD9"/>
    <w:rsid w:val="00EF5FEF"/>
    <w:rsid w:val="00EF686A"/>
    <w:rsid w:val="00EF74E7"/>
    <w:rsid w:val="00EF7700"/>
    <w:rsid w:val="00EF7D65"/>
    <w:rsid w:val="00F028F2"/>
    <w:rsid w:val="00F03B5D"/>
    <w:rsid w:val="00F062F7"/>
    <w:rsid w:val="00F06FCC"/>
    <w:rsid w:val="00F07AB9"/>
    <w:rsid w:val="00F10BEC"/>
    <w:rsid w:val="00F11682"/>
    <w:rsid w:val="00F117A8"/>
    <w:rsid w:val="00F155FF"/>
    <w:rsid w:val="00F15A69"/>
    <w:rsid w:val="00F15DD7"/>
    <w:rsid w:val="00F243EE"/>
    <w:rsid w:val="00F30D73"/>
    <w:rsid w:val="00F31FAA"/>
    <w:rsid w:val="00F32D45"/>
    <w:rsid w:val="00F36512"/>
    <w:rsid w:val="00F36A2B"/>
    <w:rsid w:val="00F37FAF"/>
    <w:rsid w:val="00F40CE1"/>
    <w:rsid w:val="00F419E7"/>
    <w:rsid w:val="00F451FD"/>
    <w:rsid w:val="00F46D86"/>
    <w:rsid w:val="00F476D5"/>
    <w:rsid w:val="00F5045C"/>
    <w:rsid w:val="00F5092F"/>
    <w:rsid w:val="00F52093"/>
    <w:rsid w:val="00F53286"/>
    <w:rsid w:val="00F60A8D"/>
    <w:rsid w:val="00F6182F"/>
    <w:rsid w:val="00F626E3"/>
    <w:rsid w:val="00F62E96"/>
    <w:rsid w:val="00F64D8D"/>
    <w:rsid w:val="00F731CA"/>
    <w:rsid w:val="00F753A8"/>
    <w:rsid w:val="00F76D1C"/>
    <w:rsid w:val="00F7735B"/>
    <w:rsid w:val="00F81759"/>
    <w:rsid w:val="00F81C6D"/>
    <w:rsid w:val="00F83048"/>
    <w:rsid w:val="00F830A4"/>
    <w:rsid w:val="00F8738A"/>
    <w:rsid w:val="00F87EE2"/>
    <w:rsid w:val="00F923B8"/>
    <w:rsid w:val="00FA3477"/>
    <w:rsid w:val="00FA422E"/>
    <w:rsid w:val="00FA4A7C"/>
    <w:rsid w:val="00FA5D38"/>
    <w:rsid w:val="00FA65AC"/>
    <w:rsid w:val="00FA72B1"/>
    <w:rsid w:val="00FB26B3"/>
    <w:rsid w:val="00FB501D"/>
    <w:rsid w:val="00FB78CF"/>
    <w:rsid w:val="00FB7965"/>
    <w:rsid w:val="00FC059C"/>
    <w:rsid w:val="00FC10F7"/>
    <w:rsid w:val="00FC1C67"/>
    <w:rsid w:val="00FC21FA"/>
    <w:rsid w:val="00FC6A7B"/>
    <w:rsid w:val="00FD07BB"/>
    <w:rsid w:val="00FD5C43"/>
    <w:rsid w:val="00FD5FA9"/>
    <w:rsid w:val="00FE21C0"/>
    <w:rsid w:val="00FE2C1A"/>
    <w:rsid w:val="00FE3A13"/>
    <w:rsid w:val="00FE735B"/>
    <w:rsid w:val="00FF19E5"/>
    <w:rsid w:val="00FF2D68"/>
    <w:rsid w:val="00FF7EB1"/>
    <w:rsid w:val="00FF7ECD"/>
    <w:rsid w:val="01047EC9"/>
    <w:rsid w:val="012D31A5"/>
    <w:rsid w:val="06160327"/>
    <w:rsid w:val="06A844CF"/>
    <w:rsid w:val="07DD11B0"/>
    <w:rsid w:val="08310510"/>
    <w:rsid w:val="091B011C"/>
    <w:rsid w:val="097E7715"/>
    <w:rsid w:val="09E7167B"/>
    <w:rsid w:val="0B764F02"/>
    <w:rsid w:val="0DF84DEF"/>
    <w:rsid w:val="0EF52BBD"/>
    <w:rsid w:val="0FC320A6"/>
    <w:rsid w:val="109C54EB"/>
    <w:rsid w:val="11C93D65"/>
    <w:rsid w:val="12E82573"/>
    <w:rsid w:val="13777900"/>
    <w:rsid w:val="161E6D42"/>
    <w:rsid w:val="17C50A0F"/>
    <w:rsid w:val="19AA6632"/>
    <w:rsid w:val="1A1F2EF0"/>
    <w:rsid w:val="1ABE561E"/>
    <w:rsid w:val="1C2A21FF"/>
    <w:rsid w:val="1CF32A42"/>
    <w:rsid w:val="1FE622F5"/>
    <w:rsid w:val="20ED50BC"/>
    <w:rsid w:val="2193721D"/>
    <w:rsid w:val="232837A3"/>
    <w:rsid w:val="267C16D9"/>
    <w:rsid w:val="27470F9A"/>
    <w:rsid w:val="27B9133E"/>
    <w:rsid w:val="28B25387"/>
    <w:rsid w:val="28ED7169"/>
    <w:rsid w:val="2CDC6CC3"/>
    <w:rsid w:val="2DCB295F"/>
    <w:rsid w:val="2E906599"/>
    <w:rsid w:val="2F7E438B"/>
    <w:rsid w:val="307672D1"/>
    <w:rsid w:val="32890749"/>
    <w:rsid w:val="32A92A2F"/>
    <w:rsid w:val="345C39D5"/>
    <w:rsid w:val="37CA3614"/>
    <w:rsid w:val="393A66B9"/>
    <w:rsid w:val="41AE1716"/>
    <w:rsid w:val="42293B45"/>
    <w:rsid w:val="44282EDB"/>
    <w:rsid w:val="46CB3D7E"/>
    <w:rsid w:val="4AB246FD"/>
    <w:rsid w:val="4BB95270"/>
    <w:rsid w:val="52405792"/>
    <w:rsid w:val="549A321B"/>
    <w:rsid w:val="553D77A8"/>
    <w:rsid w:val="55644A9D"/>
    <w:rsid w:val="56591804"/>
    <w:rsid w:val="570462EF"/>
    <w:rsid w:val="57334DC9"/>
    <w:rsid w:val="5B63016F"/>
    <w:rsid w:val="5BA961E4"/>
    <w:rsid w:val="5E881B4C"/>
    <w:rsid w:val="5F0A541C"/>
    <w:rsid w:val="635E2C0A"/>
    <w:rsid w:val="649657F1"/>
    <w:rsid w:val="64BE30DB"/>
    <w:rsid w:val="65D70BDC"/>
    <w:rsid w:val="660963E9"/>
    <w:rsid w:val="66C5170F"/>
    <w:rsid w:val="68B304E9"/>
    <w:rsid w:val="6AC860D9"/>
    <w:rsid w:val="71177D98"/>
    <w:rsid w:val="79304572"/>
    <w:rsid w:val="79C83508"/>
    <w:rsid w:val="7A6F1340"/>
    <w:rsid w:val="7B940940"/>
    <w:rsid w:val="7C1C28F0"/>
    <w:rsid w:val="7D7C37C5"/>
    <w:rsid w:val="7EAF0CBC"/>
    <w:rsid w:val="7F2006A0"/>
    <w:rsid w:val="7F610522"/>
    <w:rsid w:val="7FB85F47"/>
    <w:rsid w:val="7FF579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67"/>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6">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beforeAutospacing="0"/>
    </w:pPr>
    <w:rPr>
      <w:rFonts w:ascii="Arial" w:hAnsi="Arial"/>
      <w:sz w:val="24"/>
    </w:rPr>
  </w:style>
  <w:style w:type="paragraph" w:styleId="20">
    <w:name w:val="annotation text"/>
    <w:basedOn w:val="1"/>
    <w:link w:val="6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69"/>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Chars="-91"/>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20"/>
    <w:next w:val="20"/>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2"/>
    <w:qFormat/>
    <w:uiPriority w:val="0"/>
    <w:pPr>
      <w:spacing w:line="360" w:lineRule="auto"/>
      <w:ind w:firstLine="420"/>
    </w:pPr>
    <w:rPr>
      <w:rFonts w:ascii="宋体" w:hAnsi="宋体"/>
      <w:sz w:val="24"/>
    </w:rPr>
  </w:style>
  <w:style w:type="paragraph" w:styleId="56">
    <w:name w:val="Body Text First Indent 2"/>
    <w:basedOn w:val="23"/>
    <w:qFormat/>
    <w:uiPriority w:val="0"/>
    <w:pPr>
      <w:spacing w:after="120" w:afterLines="0" w:afterAutospacing="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宋体" w:hAnsi="宋体"/>
      <w:kern w:val="2"/>
      <w:sz w:val="28"/>
    </w:rPr>
  </w:style>
  <w:style w:type="character" w:customStyle="1" w:styleId="68">
    <w:name w:val="批注文字 Char"/>
    <w:link w:val="20"/>
    <w:qFormat/>
    <w:uiPriority w:val="0"/>
    <w:rPr>
      <w:rFonts w:eastAsia="PMingLiU"/>
      <w:sz w:val="24"/>
      <w:lang w:eastAsia="zh-TW"/>
    </w:rPr>
  </w:style>
  <w:style w:type="character" w:customStyle="1" w:styleId="69">
    <w:name w:val="日期 Char"/>
    <w:link w:val="32"/>
    <w:qFormat/>
    <w:uiPriority w:val="0"/>
    <w:rPr>
      <w:kern w:val="2"/>
      <w:sz w:val="28"/>
    </w:rPr>
  </w:style>
  <w:style w:type="character" w:customStyle="1" w:styleId="70">
    <w:name w:val=" Char Char7"/>
    <w:qFormat/>
    <w:uiPriority w:val="0"/>
    <w:rPr>
      <w:rFonts w:ascii="宋体" w:hAnsi="宋体" w:eastAsia="宋体"/>
      <w:kern w:val="2"/>
      <w:sz w:val="28"/>
    </w:rPr>
  </w:style>
  <w:style w:type="character" w:customStyle="1" w:styleId="71">
    <w:name w:val="标书正文:  0.74 厘米 Char1"/>
    <w:qFormat/>
    <w:uiPriority w:val="0"/>
    <w:rPr>
      <w:rFonts w:eastAsia="宋体"/>
      <w:kern w:val="2"/>
      <w:sz w:val="24"/>
      <w:lang w:val="en-US" w:eastAsia="zh-CN"/>
    </w:rPr>
  </w:style>
  <w:style w:type="character" w:customStyle="1" w:styleId="72">
    <w:name w:val="v151"/>
    <w:qFormat/>
    <w:uiPriority w:val="0"/>
    <w:rPr>
      <w:sz w:val="18"/>
    </w:rPr>
  </w:style>
  <w:style w:type="character" w:customStyle="1" w:styleId="73">
    <w:name w:val="样式 宋体"/>
    <w:qFormat/>
    <w:uiPriority w:val="0"/>
    <w:rPr>
      <w:rFonts w:ascii="宋体" w:hAnsi="宋体" w:eastAsia="宋体"/>
      <w:sz w:val="28"/>
    </w:rPr>
  </w:style>
  <w:style w:type="character" w:customStyle="1" w:styleId="74">
    <w:name w:val="top-det1"/>
    <w:qFormat/>
    <w:uiPriority w:val="0"/>
    <w:rPr>
      <w:b/>
      <w:color w:val="000000"/>
    </w:rPr>
  </w:style>
  <w:style w:type="character" w:customStyle="1" w:styleId="75">
    <w:name w:val=" Char Char6"/>
    <w:qFormat/>
    <w:uiPriority w:val="0"/>
    <w:rPr>
      <w:rFonts w:ascii="仿宋_GB2312" w:eastAsia="仿宋_GB2312"/>
      <w:kern w:val="2"/>
      <w:sz w:val="32"/>
    </w:rPr>
  </w:style>
  <w:style w:type="character" w:customStyle="1" w:styleId="76">
    <w:name w:val="content-white1"/>
    <w:qFormat/>
    <w:uiPriority w:val="0"/>
    <w:rPr>
      <w:rFonts w:ascii="_x000B__x000C_" w:hAnsi="_x000B__x000C_"/>
      <w:color w:val="auto"/>
      <w:sz w:val="18"/>
      <w:u w:val="none"/>
    </w:rPr>
  </w:style>
  <w:style w:type="character" w:customStyle="1" w:styleId="77">
    <w:name w:val="font1"/>
    <w:qFormat/>
    <w:uiPriority w:val="0"/>
    <w:rPr>
      <w:color w:val="000000"/>
      <w:sz w:val="18"/>
    </w:rPr>
  </w:style>
  <w:style w:type="character" w:customStyle="1" w:styleId="78">
    <w:name w:val="正文 + 三号 Char"/>
    <w:qFormat/>
    <w:uiPriority w:val="0"/>
    <w:rPr>
      <w:rFonts w:eastAsia="宋体"/>
      <w:kern w:val="2"/>
      <w:sz w:val="21"/>
      <w:lang w:val="en-US" w:eastAsia="zh-CN"/>
    </w:rPr>
  </w:style>
  <w:style w:type="character" w:customStyle="1" w:styleId="79">
    <w:name w:val="Table Text Char Char Char Char"/>
    <w:qFormat/>
    <w:uiPriority w:val="0"/>
    <w:rPr>
      <w:rFonts w:ascii="Arial" w:hAnsi="Arial"/>
      <w:kern w:val="2"/>
      <w:sz w:val="18"/>
      <w:lang w:val="en-US" w:eastAsia="zh-CN" w:bidi="ar-SA"/>
    </w:rPr>
  </w:style>
  <w:style w:type="character" w:customStyle="1" w:styleId="80">
    <w:name w:val="Table Text Char1 Char"/>
    <w:qFormat/>
    <w:uiPriority w:val="0"/>
    <w:rPr>
      <w:rFonts w:ascii="Arial" w:hAnsi="Arial"/>
      <w:kern w:val="2"/>
      <w:sz w:val="18"/>
      <w:lang w:val="en-US" w:eastAsia="zh-CN" w:bidi="ar-SA"/>
    </w:rPr>
  </w:style>
  <w:style w:type="character" w:customStyle="1" w:styleId="81">
    <w:name w:val="未命名11"/>
    <w:qFormat/>
    <w:uiPriority w:val="0"/>
    <w:rPr>
      <w:color w:val="77FFFF"/>
      <w:sz w:val="24"/>
    </w:rPr>
  </w:style>
  <w:style w:type="character" w:customStyle="1" w:styleId="82">
    <w:name w:val=" Char Char4"/>
    <w:qFormat/>
    <w:uiPriority w:val="0"/>
    <w:rPr>
      <w:rFonts w:eastAsia="宋体"/>
      <w:b/>
      <w:kern w:val="2"/>
      <w:sz w:val="21"/>
      <w:lang w:val="en-US" w:eastAsia="zh-CN"/>
    </w:rPr>
  </w:style>
  <w:style w:type="character" w:customStyle="1" w:styleId="83">
    <w:name w:val=" Char Char3"/>
    <w:qFormat/>
    <w:uiPriority w:val="0"/>
    <w:rPr>
      <w:rFonts w:eastAsia="宋体"/>
      <w:kern w:val="2"/>
      <w:sz w:val="18"/>
      <w:lang w:val="en-US" w:eastAsia="zh-CN"/>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crowed11"/>
    <w:qFormat/>
    <w:uiPriority w:val="0"/>
    <w:rPr>
      <w:rFonts w:hint="default" w:ascii="_x000B__x000C_" w:hAnsi="_x000B__x000C_"/>
      <w:sz w:val="24"/>
    </w:rPr>
  </w:style>
  <w:style w:type="character" w:customStyle="1" w:styleId="86">
    <w:name w:val=" Char Char2"/>
    <w:qFormat/>
    <w:uiPriority w:val="0"/>
    <w:rPr>
      <w:rFonts w:eastAsia="宋体"/>
      <w:kern w:val="2"/>
      <w:sz w:val="18"/>
      <w:lang w:val="en-US" w:eastAsia="zh-CN"/>
    </w:rPr>
  </w:style>
  <w:style w:type="character" w:customStyle="1" w:styleId="87">
    <w:name w:val=" Char Char5"/>
    <w:qFormat/>
    <w:uiPriority w:val="0"/>
    <w:rPr>
      <w:rFonts w:ascii="Arial" w:hAnsi="Arial" w:eastAsia="宋体"/>
      <w:b/>
      <w:smallCaps/>
      <w:kern w:val="28"/>
      <w:sz w:val="36"/>
      <w:lang w:val="en-US" w:eastAsia="en-US"/>
    </w:rPr>
  </w:style>
  <w:style w:type="character" w:customStyle="1" w:styleId="88">
    <w:name w:val="Table Text Char"/>
    <w:qFormat/>
    <w:uiPriority w:val="0"/>
    <w:rPr>
      <w:rFonts w:ascii="Arial" w:hAnsi="Arial"/>
      <w:kern w:val="2"/>
      <w:sz w:val="18"/>
      <w:lang w:val="en-US" w:eastAsia="zh-CN" w:bidi="ar-SA"/>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文字 Char"/>
    <w:link w:val="92"/>
    <w:qFormat/>
    <w:uiPriority w:val="0"/>
    <w:rPr>
      <w:rFonts w:ascii="宋体" w:eastAsia="宋体"/>
      <w:kern w:val="2"/>
      <w:sz w:val="28"/>
      <w:lang w:val="en-US" w:eastAsia="zh-CN" w:bidi="ar-SA"/>
    </w:rPr>
  </w:style>
  <w:style w:type="paragraph" w:customStyle="1" w:styleId="92">
    <w:name w:val="文字"/>
    <w:basedOn w:val="1"/>
    <w:link w:val="91"/>
    <w:qFormat/>
    <w:uiPriority w:val="0"/>
    <w:pPr>
      <w:tabs>
        <w:tab w:val="left" w:pos="8520"/>
      </w:tabs>
      <w:spacing w:line="312" w:lineRule="auto"/>
      <w:ind w:right="-210" w:firstLine="556"/>
    </w:pPr>
    <w:rPr>
      <w:rFonts w:ascii="宋体"/>
    </w:rPr>
  </w:style>
  <w:style w:type="paragraph" w:customStyle="1" w:styleId="9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94">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95">
    <w:name w:val="Char Char Char Char Char Char Char"/>
    <w:basedOn w:val="18"/>
    <w:qFormat/>
    <w:uiPriority w:val="0"/>
    <w:rPr>
      <w:rFonts w:ascii="宋体" w:hAnsi="Tahoma"/>
    </w:rPr>
  </w:style>
  <w:style w:type="paragraph" w:customStyle="1" w:styleId="96">
    <w:name w:val="正文（首行不缩进）"/>
    <w:basedOn w:val="1"/>
    <w:qFormat/>
    <w:uiPriority w:val="0"/>
    <w:pPr>
      <w:autoSpaceDE w:val="0"/>
      <w:autoSpaceDN w:val="0"/>
      <w:adjustRightInd w:val="0"/>
      <w:spacing w:line="360" w:lineRule="auto"/>
      <w:jc w:val="left"/>
    </w:pPr>
    <w:rPr>
      <w:kern w:val="0"/>
      <w:sz w:val="21"/>
    </w:rPr>
  </w:style>
  <w:style w:type="paragraph" w:customStyle="1" w:styleId="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98">
    <w:name w:val="表文字"/>
    <w:qFormat/>
    <w:uiPriority w:val="0"/>
    <w:rPr>
      <w:rFonts w:ascii="宋体" w:hAnsi="Times New Roman" w:eastAsia="宋体" w:cs="Times New Roman"/>
      <w:kern w:val="2"/>
      <w:lang w:val="en-US" w:eastAsia="zh-CN" w:bidi="ar-SA"/>
    </w:rPr>
  </w:style>
  <w:style w:type="paragraph" w:customStyle="1" w:styleId="99">
    <w:name w:val=" Char Char1 Char"/>
    <w:basedOn w:val="1"/>
    <w:qFormat/>
    <w:uiPriority w:val="0"/>
    <w:rPr>
      <w:rFonts w:ascii="Tahoma" w:hAnsi="Tahoma"/>
      <w:sz w:val="24"/>
      <w:szCs w:val="24"/>
    </w:rPr>
  </w:style>
  <w:style w:type="paragraph" w:customStyle="1" w:styleId="100">
    <w:name w:val="1"/>
    <w:basedOn w:val="1"/>
    <w:qFormat/>
    <w:uiPriority w:val="0"/>
    <w:rPr>
      <w:rFonts w:ascii="Tahoma" w:hAnsi="Tahoma"/>
      <w:sz w:val="24"/>
    </w:rPr>
  </w:style>
  <w:style w:type="paragraph" w:customStyle="1" w:styleId="10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02">
    <w:name w:val="表格内文字"/>
    <w:basedOn w:val="30"/>
    <w:qFormat/>
    <w:uiPriority w:val="0"/>
    <w:pPr>
      <w:snapToGrid/>
      <w:spacing w:line="240" w:lineRule="auto"/>
    </w:pPr>
    <w:rPr>
      <w:color w:val="000000"/>
      <w:lang w:val="en-GB"/>
    </w:rPr>
  </w:style>
  <w:style w:type="paragraph" w:customStyle="1" w:styleId="103">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04">
    <w:name w:val="默认段落字体 Para Char Char Char Char Char Char Char Char Char1 Char Char Char Char"/>
    <w:basedOn w:val="1"/>
    <w:qFormat/>
    <w:uiPriority w:val="0"/>
    <w:rPr>
      <w:rFonts w:ascii="Tahoma" w:hAnsi="Tahoma"/>
      <w:sz w:val="24"/>
    </w:rPr>
  </w:style>
  <w:style w:type="paragraph" w:customStyle="1" w:styleId="10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07">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1">
    <w:name w:val="关键词"/>
    <w:basedOn w:val="1"/>
    <w:next w:val="1"/>
    <w:qFormat/>
    <w:uiPriority w:val="0"/>
    <w:pPr>
      <w:spacing w:line="360" w:lineRule="auto"/>
    </w:pPr>
    <w:rPr>
      <w:rFonts w:eastAsia="黑体"/>
      <w:sz w:val="20"/>
    </w:rPr>
  </w:style>
  <w:style w:type="paragraph" w:customStyle="1" w:styleId="1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14">
    <w:name w:val="Body Text Indent 2"/>
    <w:basedOn w:val="1"/>
    <w:qFormat/>
    <w:uiPriority w:val="0"/>
    <w:pPr>
      <w:adjustRightInd w:val="0"/>
      <w:spacing w:before="120" w:beforeLines="0" w:beforeAutospacing="0"/>
      <w:ind w:firstLine="420"/>
      <w:textAlignment w:val="baseline"/>
    </w:pPr>
    <w:rPr>
      <w:sz w:val="24"/>
    </w:rPr>
  </w:style>
  <w:style w:type="paragraph" w:customStyle="1" w:styleId="115">
    <w:name w:val="Item Step in Table"/>
    <w:qFormat/>
    <w:uiPriority w:val="0"/>
    <w:pPr>
      <w:numPr>
        <w:ilvl w:val="0"/>
        <w:numId w:val="7"/>
      </w:numPr>
      <w:spacing w:before="40" w:after="40"/>
      <w:jc w:val="both"/>
    </w:pPr>
    <w:rPr>
      <w:rFonts w:ascii="Arial" w:hAnsi="Arial" w:eastAsia="宋体" w:cs="Times New Roman"/>
      <w:sz w:val="18"/>
      <w:lang w:val="en-US" w:eastAsia="zh-CN" w:bidi="ar-SA"/>
    </w:rPr>
  </w:style>
  <w:style w:type="paragraph" w:customStyle="1" w:styleId="11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7">
    <w:name w:val="样式2"/>
    <w:basedOn w:val="6"/>
    <w:qFormat/>
    <w:uiPriority w:val="0"/>
    <w:pPr>
      <w:numPr>
        <w:ilvl w:val="0"/>
        <w:numId w:val="8"/>
      </w:numPr>
      <w:spacing w:line="400" w:lineRule="exact"/>
      <w:jc w:val="center"/>
      <w:outlineLvl w:val="0"/>
    </w:pPr>
    <w:rPr>
      <w:b w:val="0"/>
      <w:sz w:val="44"/>
    </w:rPr>
  </w:style>
  <w:style w:type="paragraph" w:customStyle="1" w:styleId="11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19">
    <w:name w:val=" Char Char Char"/>
    <w:basedOn w:val="1"/>
    <w:qFormat/>
    <w:uiPriority w:val="0"/>
    <w:rPr>
      <w:rFonts w:ascii="Tahoma" w:hAnsi="Tahoma"/>
      <w:sz w:val="24"/>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默认段落字体 Para Char Char Char Char Char Char Char"/>
    <w:basedOn w:val="1"/>
    <w:qFormat/>
    <w:uiPriority w:val="0"/>
    <w:rPr>
      <w:rFonts w:ascii="Tahoma" w:hAnsi="Tahoma"/>
      <w:sz w:val="24"/>
    </w:rPr>
  </w:style>
  <w:style w:type="paragraph" w:customStyle="1" w:styleId="12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4">
    <w:name w:val="表头样式"/>
    <w:basedOn w:val="1"/>
    <w:qFormat/>
    <w:uiPriority w:val="0"/>
    <w:pPr>
      <w:autoSpaceDE w:val="0"/>
      <w:autoSpaceDN w:val="0"/>
      <w:adjustRightInd w:val="0"/>
      <w:spacing w:line="360" w:lineRule="auto"/>
      <w:jc w:val="left"/>
    </w:pPr>
    <w:rPr>
      <w:b/>
      <w:kern w:val="0"/>
      <w:sz w:val="21"/>
    </w:rPr>
  </w:style>
  <w:style w:type="paragraph" w:customStyle="1" w:styleId="12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2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28">
    <w:name w:val="章标题"/>
    <w:next w:val="1"/>
    <w:qFormat/>
    <w:uiPriority w:val="0"/>
    <w:pPr>
      <w:numPr>
        <w:ilvl w:val="1"/>
        <w:numId w:val="9"/>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9">
    <w:name w:val="样式 标题 6第五层条 + 三号 段前: 0.5 行"/>
    <w:basedOn w:val="8"/>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30">
    <w:name w:val="Title - Date"/>
    <w:basedOn w:val="53"/>
    <w:next w:val="1"/>
    <w:qFormat/>
    <w:uiPriority w:val="0"/>
    <w:pPr>
      <w:spacing w:before="240" w:beforeLines="0" w:beforeAutospacing="0" w:after="720" w:afterLines="0" w:afterAutospacing="0"/>
    </w:pPr>
    <w:rPr>
      <w:sz w:val="28"/>
    </w:rPr>
  </w:style>
  <w:style w:type="paragraph" w:customStyle="1" w:styleId="131">
    <w:name w:val="样式 宋体 五号 行距: 单倍行距"/>
    <w:basedOn w:val="1"/>
    <w:qFormat/>
    <w:uiPriority w:val="0"/>
    <w:pPr>
      <w:adjustRightInd w:val="0"/>
      <w:jc w:val="left"/>
    </w:pPr>
    <w:rPr>
      <w:rFonts w:ascii="宋体" w:hAnsi="宋体"/>
      <w:kern w:val="0"/>
      <w:sz w:val="21"/>
    </w:rPr>
  </w:style>
  <w:style w:type="paragraph" w:customStyle="1" w:styleId="132">
    <w:name w:val="文章正文"/>
    <w:basedOn w:val="1"/>
    <w:qFormat/>
    <w:uiPriority w:val="0"/>
    <w:pPr>
      <w:ind w:firstLine="560" w:firstLineChars="200"/>
    </w:pPr>
    <w:rPr>
      <w:rFonts w:ascii="仿宋_GB2312" w:hAnsi="宋体" w:eastAsia="仿宋_GB2312"/>
      <w:color w:val="000000"/>
    </w:rPr>
  </w:style>
  <w:style w:type="paragraph" w:customStyle="1" w:styleId="13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5">
    <w:name w:val="Title - Revision"/>
    <w:basedOn w:val="53"/>
    <w:qFormat/>
    <w:uiPriority w:val="0"/>
    <w:pPr>
      <w:spacing w:before="720" w:beforeLines="0" w:beforeAutospacing="0"/>
    </w:pPr>
  </w:style>
  <w:style w:type="paragraph" w:customStyle="1" w:styleId="13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3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38">
    <w:name w:val=" Char1 Char Char Char"/>
    <w:basedOn w:val="1"/>
    <w:qFormat/>
    <w:uiPriority w:val="0"/>
    <w:rPr>
      <w:rFonts w:ascii="Tahoma" w:hAnsi="Tahoma"/>
      <w:sz w:val="24"/>
    </w:rPr>
  </w:style>
  <w:style w:type="paragraph" w:customStyle="1" w:styleId="139">
    <w:name w:val=" Char Char 字元 字元 字元 Char Char Char Char"/>
    <w:basedOn w:val="1"/>
    <w:qFormat/>
    <w:uiPriority w:val="0"/>
    <w:pPr>
      <w:adjustRightInd w:val="0"/>
      <w:spacing w:line="360" w:lineRule="auto"/>
    </w:pPr>
    <w:rPr>
      <w:kern w:val="0"/>
      <w:sz w:val="24"/>
    </w:rPr>
  </w:style>
  <w:style w:type="paragraph" w:customStyle="1" w:styleId="14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4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标题2"/>
    <w:basedOn w:val="4"/>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43">
    <w:name w:val="简单回函地址"/>
    <w:basedOn w:val="1"/>
    <w:qFormat/>
    <w:uiPriority w:val="0"/>
    <w:pPr>
      <w:adjustRightInd w:val="0"/>
      <w:snapToGrid w:val="0"/>
      <w:spacing w:line="360" w:lineRule="auto"/>
    </w:pPr>
    <w:rPr>
      <w:sz w:val="24"/>
    </w:rPr>
  </w:style>
  <w:style w:type="paragraph" w:customStyle="1" w:styleId="14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7">
    <w:name w:val="表头文本"/>
    <w:qFormat/>
    <w:uiPriority w:val="0"/>
    <w:pPr>
      <w:jc w:val="center"/>
    </w:pPr>
    <w:rPr>
      <w:rFonts w:ascii="Arial" w:hAnsi="Arial" w:eastAsia="宋体" w:cs="Times New Roman"/>
      <w:b/>
      <w:sz w:val="21"/>
      <w:lang w:val="en-US" w:eastAsia="zh-CN" w:bidi="ar-SA"/>
    </w:rPr>
  </w:style>
  <w:style w:type="paragraph" w:customStyle="1" w:styleId="148">
    <w:name w:val=" Char"/>
    <w:basedOn w:val="1"/>
    <w:qFormat/>
    <w:uiPriority w:val="0"/>
    <w:pPr>
      <w:spacing w:line="240" w:lineRule="atLeast"/>
      <w:ind w:left="420" w:firstLine="420"/>
    </w:pPr>
    <w:rPr>
      <w:kern w:val="0"/>
      <w:sz w:val="21"/>
    </w:rPr>
  </w:style>
  <w:style w:type="paragraph" w:customStyle="1" w:styleId="149">
    <w:name w:val="标准正文"/>
    <w:basedOn w:val="23"/>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50">
    <w:name w:val="Table Contents"/>
    <w:basedOn w:val="2"/>
    <w:qFormat/>
    <w:uiPriority w:val="0"/>
    <w:pPr>
      <w:suppressAutoHyphens/>
      <w:jc w:val="left"/>
    </w:pPr>
    <w:rPr>
      <w:rFonts w:ascii="Times New Roman" w:eastAsia="Times New Roman"/>
      <w:kern w:val="0"/>
      <w:sz w:val="24"/>
    </w:rPr>
  </w:style>
  <w:style w:type="paragraph" w:customStyle="1" w:styleId="151">
    <w:name w:val="可研正文"/>
    <w:basedOn w:val="2"/>
    <w:qFormat/>
    <w:uiPriority w:val="0"/>
    <w:pPr>
      <w:adjustRightInd w:val="0"/>
      <w:snapToGrid w:val="0"/>
      <w:spacing w:line="440" w:lineRule="exact"/>
      <w:ind w:firstLine="567"/>
    </w:pPr>
    <w:rPr>
      <w:sz w:val="28"/>
    </w:rPr>
  </w:style>
  <w:style w:type="paragraph" w:customStyle="1" w:styleId="152">
    <w:name w:val="样式1xz"/>
    <w:basedOn w:val="1"/>
    <w:qFormat/>
    <w:uiPriority w:val="0"/>
    <w:pPr>
      <w:tabs>
        <w:tab w:val="left" w:pos="1050"/>
        <w:tab w:val="right" w:leader="dot" w:pos="8296"/>
      </w:tabs>
    </w:pPr>
    <w:rPr>
      <w:caps/>
      <w:spacing w:val="20"/>
      <w:sz w:val="24"/>
    </w:rPr>
  </w:style>
  <w:style w:type="paragraph" w:customStyle="1" w:styleId="153">
    <w:name w:val="Char1 Char Char Char"/>
    <w:basedOn w:val="1"/>
    <w:qFormat/>
    <w:uiPriority w:val="0"/>
    <w:rPr>
      <w:rFonts w:ascii="Tahoma" w:hAnsi="Tahoma"/>
      <w:sz w:val="21"/>
    </w:rPr>
  </w:style>
  <w:style w:type="paragraph" w:customStyle="1" w:styleId="15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5">
    <w:name w:val="表号"/>
    <w:basedOn w:val="1"/>
    <w:qFormat/>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5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首行缩进"/>
    <w:basedOn w:val="1"/>
    <w:qFormat/>
    <w:uiPriority w:val="0"/>
    <w:pPr>
      <w:spacing w:line="360" w:lineRule="auto"/>
      <w:ind w:firstLine="420" w:firstLineChars="200"/>
    </w:pPr>
    <w:rPr>
      <w:sz w:val="21"/>
    </w:rPr>
  </w:style>
  <w:style w:type="paragraph" w:customStyle="1" w:styleId="159">
    <w:name w:val="样式1"/>
    <w:basedOn w:val="6"/>
    <w:qFormat/>
    <w:uiPriority w:val="0"/>
    <w:pPr>
      <w:spacing w:before="500" w:beforeLines="0" w:after="260" w:afterLines="0" w:line="560" w:lineRule="atLeast"/>
    </w:pPr>
  </w:style>
  <w:style w:type="paragraph" w:customStyle="1" w:styleId="160">
    <w:name w:val="样式3"/>
    <w:basedOn w:val="3"/>
    <w:next w:val="3"/>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6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正文表格"/>
    <w:basedOn w:val="1"/>
    <w:qFormat/>
    <w:uiPriority w:val="0"/>
    <w:pPr>
      <w:adjustRightInd w:val="0"/>
      <w:spacing w:before="40" w:beforeLines="0" w:beforeAutospacing="0" w:after="40" w:afterLines="0" w:afterAutospacing="0"/>
    </w:pPr>
    <w:rPr>
      <w:sz w:val="24"/>
    </w:rPr>
  </w:style>
  <w:style w:type="paragraph" w:customStyle="1" w:styleId="164">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65">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6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8">
    <w:name w:val=" Char Char Char Char Char"/>
    <w:basedOn w:val="1"/>
    <w:qFormat/>
    <w:uiPriority w:val="0"/>
    <w:pPr>
      <w:numPr>
        <w:ilvl w:val="0"/>
        <w:numId w:val="13"/>
      </w:numPr>
    </w:pPr>
    <w:rPr>
      <w:rFonts w:ascii="Tahoma" w:hAnsi="Tahoma"/>
      <w:sz w:val="24"/>
    </w:rPr>
  </w:style>
  <w:style w:type="paragraph" w:customStyle="1" w:styleId="169">
    <w:name w:val="标题无"/>
    <w:basedOn w:val="1"/>
    <w:qFormat/>
    <w:uiPriority w:val="0"/>
    <w:pPr>
      <w:spacing w:line="360" w:lineRule="auto"/>
    </w:pPr>
    <w:rPr>
      <w:sz w:val="24"/>
    </w:rPr>
  </w:style>
  <w:style w:type="paragraph" w:customStyle="1" w:styleId="170">
    <w:name w:val="样式4"/>
    <w:basedOn w:val="6"/>
    <w:qFormat/>
    <w:uiPriority w:val="0"/>
    <w:pPr>
      <w:numPr>
        <w:ilvl w:val="0"/>
        <w:numId w:val="0"/>
      </w:numPr>
      <w:adjustRightInd w:val="0"/>
      <w:snapToGrid w:val="0"/>
      <w:spacing w:before="280" w:beforeLines="0" w:beforeAutospacing="0" w:line="372" w:lineRule="auto"/>
    </w:p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摘要"/>
    <w:basedOn w:val="1"/>
    <w:next w:val="4"/>
    <w:qFormat/>
    <w:uiPriority w:val="0"/>
    <w:pPr>
      <w:spacing w:line="360" w:lineRule="auto"/>
    </w:pPr>
    <w:rPr>
      <w:rFonts w:eastAsia="黑体"/>
      <w:sz w:val="20"/>
    </w:rPr>
  </w:style>
  <w:style w:type="paragraph" w:customStyle="1" w:styleId="173">
    <w:name w:val="正文 + 三号"/>
    <w:basedOn w:val="1"/>
    <w:qFormat/>
    <w:uiPriority w:val="0"/>
    <w:rPr>
      <w:rFonts w:eastAsia="宋体"/>
      <w:kern w:val="2"/>
      <w:sz w:val="21"/>
      <w:lang w:val="en-US" w:eastAsia="zh-CN"/>
    </w:rPr>
  </w:style>
  <w:style w:type="paragraph" w:customStyle="1" w:styleId="174">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Char"/>
    <w:basedOn w:val="1"/>
    <w:qFormat/>
    <w:uiPriority w:val="0"/>
    <w:pPr>
      <w:widowControl/>
      <w:spacing w:line="400" w:lineRule="exact"/>
      <w:jc w:val="center"/>
    </w:pPr>
    <w:rPr>
      <w:sz w:val="24"/>
    </w:rPr>
  </w:style>
  <w:style w:type="paragraph" w:customStyle="1" w:styleId="179">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8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83">
    <w:name w:val="_Style 182"/>
    <w:qFormat/>
    <w:uiPriority w:val="0"/>
    <w:rPr>
      <w:rFonts w:ascii="Times New Roman" w:hAnsi="Times New Roman" w:eastAsia="宋体" w:cs="Times New Roman"/>
      <w:kern w:val="2"/>
      <w:sz w:val="21"/>
      <w:lang w:val="en-US" w:eastAsia="zh-CN" w:bidi="ar-SA"/>
    </w:rPr>
  </w:style>
  <w:style w:type="paragraph" w:customStyle="1" w:styleId="184">
    <w:name w:val="首行缩进 1"/>
    <w:basedOn w:val="1"/>
    <w:qFormat/>
    <w:uiPriority w:val="0"/>
    <w:pPr>
      <w:spacing w:after="120" w:afterLines="0" w:afterAutospacing="0" w:line="360" w:lineRule="auto"/>
      <w:ind w:firstLine="200" w:firstLineChars="200"/>
    </w:pPr>
    <w:rPr>
      <w:sz w:val="24"/>
    </w:rPr>
  </w:style>
  <w:style w:type="paragraph" w:customStyle="1" w:styleId="18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6">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8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8">
    <w:name w:val="样式 行距: 1.5 倍行距1"/>
    <w:basedOn w:val="1"/>
    <w:qFormat/>
    <w:uiPriority w:val="0"/>
    <w:pPr>
      <w:snapToGrid w:val="0"/>
    </w:pPr>
    <w:rPr>
      <w:sz w:val="21"/>
    </w:rPr>
  </w:style>
  <w:style w:type="paragraph" w:customStyle="1" w:styleId="189">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9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1">
    <w:name w:val="二级列表"/>
    <w:basedOn w:val="189"/>
    <w:next w:val="189"/>
    <w:qFormat/>
    <w:uiPriority w:val="0"/>
    <w:pPr>
      <w:tabs>
        <w:tab w:val="left" w:pos="2120"/>
      </w:tabs>
      <w:ind w:firstLine="0" w:firstLineChars="0"/>
    </w:pPr>
    <w:rPr>
      <w:b/>
    </w:rPr>
  </w:style>
  <w:style w:type="paragraph" w:customStyle="1" w:styleId="192">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193">
    <w:name w:val="文本1"/>
    <w:basedOn w:val="1"/>
    <w:qFormat/>
    <w:uiPriority w:val="0"/>
    <w:pPr>
      <w:adjustRightInd w:val="0"/>
      <w:spacing w:line="312" w:lineRule="atLeast"/>
      <w:jc w:val="center"/>
      <w:textAlignment w:val="baseline"/>
    </w:pPr>
    <w:rPr>
      <w:kern w:val="0"/>
      <w:sz w:val="18"/>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格文本"/>
    <w:qFormat/>
    <w:uiPriority w:val="0"/>
    <w:pPr>
      <w:tabs>
        <w:tab w:val="decimal" w:pos="0"/>
      </w:tabs>
    </w:pPr>
    <w:rPr>
      <w:rFonts w:ascii="Arial" w:hAnsi="Arial" w:eastAsia="宋体" w:cs="Times New Roman"/>
      <w:sz w:val="21"/>
      <w:lang w:val="en-US" w:eastAsia="zh-CN" w:bidi="ar-SA"/>
    </w:rPr>
  </w:style>
  <w:style w:type="paragraph" w:customStyle="1" w:styleId="19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7">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8">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99">
    <w:name w:val="样式 首行缩进:  0.74 厘米"/>
    <w:basedOn w:val="1"/>
    <w:qFormat/>
    <w:uiPriority w:val="0"/>
    <w:pPr>
      <w:spacing w:line="360" w:lineRule="auto"/>
      <w:ind w:firstLine="420"/>
    </w:pPr>
    <w:rPr>
      <w:sz w:val="24"/>
    </w:rPr>
  </w:style>
  <w:style w:type="paragraph" w:customStyle="1" w:styleId="2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202">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03">
    <w:name w:val="编号正文"/>
    <w:basedOn w:val="187"/>
    <w:qFormat/>
    <w:uiPriority w:val="0"/>
    <w:pPr>
      <w:snapToGrid/>
      <w:spacing w:line="360" w:lineRule="auto"/>
      <w:ind w:left="1407" w:hanging="1047"/>
      <w:jc w:val="left"/>
    </w:pPr>
    <w:rPr>
      <w:rFonts w:eastAsia="仿宋_GB2312"/>
    </w:rPr>
  </w:style>
  <w:style w:type="paragraph" w:customStyle="1" w:styleId="204">
    <w:name w:val="图片文字"/>
    <w:basedOn w:val="1"/>
    <w:qFormat/>
    <w:uiPriority w:val="0"/>
    <w:pPr>
      <w:spacing w:line="240" w:lineRule="atLeast"/>
      <w:jc w:val="center"/>
    </w:pPr>
    <w:rPr>
      <w:sz w:val="21"/>
    </w:rPr>
  </w:style>
  <w:style w:type="paragraph" w:customStyle="1" w:styleId="205">
    <w:name w:val=" Char1"/>
    <w:basedOn w:val="1"/>
    <w:qFormat/>
    <w:uiPriority w:val="0"/>
    <w:rPr>
      <w:sz w:val="21"/>
    </w:rPr>
  </w:style>
  <w:style w:type="paragraph" w:customStyle="1" w:styleId="2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07">
    <w:name w:val="样式 标题 1 + 居中 段前: 6 磅 段后: 6 磅 行距: 1.5 倍行距"/>
    <w:basedOn w:val="3"/>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208">
    <w:name w:val="Style Heading 3h3Heading 3 - oldLevel 3 HeadH3level_3PIM 3se..."/>
    <w:basedOn w:val="5"/>
    <w:qFormat/>
    <w:uiPriority w:val="0"/>
    <w:pPr>
      <w:numPr>
        <w:ilvl w:val="2"/>
        <w:numId w:val="13"/>
      </w:numPr>
      <w:jc w:val="both"/>
    </w:pPr>
    <w:rPr>
      <w:sz w:val="32"/>
    </w:rPr>
  </w:style>
  <w:style w:type="paragraph" w:customStyle="1" w:styleId="20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10">
    <w:name w:val="样式 正文缩进正文（首行缩进两字）表正文正文非缩进特点标题4段1 + 首行缩进:  2 字符"/>
    <w:basedOn w:val="16"/>
    <w:qFormat/>
    <w:uiPriority w:val="0"/>
    <w:pPr>
      <w:ind w:firstLine="480" w:firstLineChars="200"/>
    </w:pPr>
  </w:style>
  <w:style w:type="paragraph" w:customStyle="1" w:styleId="211">
    <w:name w:val="正文1"/>
    <w:basedOn w:val="1"/>
    <w:qFormat/>
    <w:uiPriority w:val="0"/>
    <w:pPr>
      <w:spacing w:line="300" w:lineRule="auto"/>
      <w:ind w:firstLine="200" w:firstLineChars="200"/>
    </w:pPr>
    <w:rPr>
      <w:sz w:val="24"/>
    </w:rPr>
  </w:style>
  <w:style w:type="paragraph" w:customStyle="1" w:styleId="212">
    <w:name w:val="1.正文"/>
    <w:basedOn w:val="1"/>
    <w:qFormat/>
    <w:uiPriority w:val="0"/>
    <w:pPr>
      <w:spacing w:line="360" w:lineRule="auto"/>
      <w:ind w:left="540" w:leftChars="225" w:firstLine="540" w:firstLineChars="225"/>
    </w:pPr>
    <w:rPr>
      <w:sz w:val="24"/>
    </w:rPr>
  </w:style>
  <w:style w:type="paragraph" w:customStyle="1" w:styleId="213">
    <w:name w:val="内容标题"/>
    <w:basedOn w:val="18"/>
    <w:qFormat/>
    <w:uiPriority w:val="0"/>
    <w:rPr>
      <w:rFonts w:ascii="Tahoma" w:hAnsi="Tahoma"/>
      <w:sz w:val="24"/>
    </w:rPr>
  </w:style>
  <w:style w:type="paragraph" w:customStyle="1" w:styleId="21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5">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17">
    <w:name w:val="List Paragraph"/>
    <w:basedOn w:val="1"/>
    <w:qFormat/>
    <w:uiPriority w:val="0"/>
    <w:pPr>
      <w:ind w:firstLine="420" w:firstLineChars="200"/>
    </w:pPr>
    <w:rPr>
      <w:rFonts w:ascii="Times New Roman" w:hAnsi="Times New Roman" w:eastAsia="宋体" w:cs="Times New Roman"/>
      <w:szCs w:val="22"/>
    </w:rPr>
  </w:style>
  <w:style w:type="paragraph" w:customStyle="1" w:styleId="218">
    <w:name w:val="目录 83"/>
    <w:next w:val="1"/>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2872</Words>
  <Characters>16377</Characters>
  <Lines>136</Lines>
  <Paragraphs>38</Paragraphs>
  <TotalTime>3</TotalTime>
  <ScaleCrop>false</ScaleCrop>
  <LinksUpToDate>false</LinksUpToDate>
  <CharactersWithSpaces>19211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2021-04-15T08:51:00Z</dcterms:created>
  <dc:creator>admin</dc:creator>
  <cp:lastModifiedBy>时空连续</cp:lastModifiedBy>
  <cp:lastPrinted>2018-08-17T07:28:00Z</cp:lastPrinted>
  <dcterms:modified xsi:type="dcterms:W3CDTF">2021-10-12T09:54:46Z</dcterms:modified>
  <dc:title>货物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A8FF43C305E64EF089D85BBF874D19F3</vt:lpwstr>
  </property>
</Properties>
</file>