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600" w:lineRule="exact"/>
        <w:outlineLvl w:val="0"/>
        <w:rPr>
          <w:rFonts w:hint="eastAsia" w:ascii="宋体" w:hAnsi="宋体" w:cs="宋体"/>
          <w:b/>
          <w:bCs/>
          <w:sz w:val="96"/>
          <w:szCs w:val="96"/>
        </w:rPr>
      </w:pPr>
      <w:bookmarkStart w:id="65" w:name="_GoBack"/>
      <w:bookmarkEnd w:id="65"/>
    </w:p>
    <w:p>
      <w:pPr>
        <w:spacing w:line="1600" w:lineRule="exact"/>
        <w:jc w:val="center"/>
        <w:outlineLvl w:val="0"/>
        <w:rPr>
          <w:rFonts w:hint="eastAsia" w:ascii="宋体" w:hAnsi="宋体" w:cs="宋体"/>
          <w:b/>
          <w:bCs/>
          <w:sz w:val="96"/>
          <w:szCs w:val="96"/>
        </w:rPr>
      </w:pPr>
      <w:r>
        <w:rPr>
          <w:rFonts w:hint="eastAsia" w:ascii="宋体" w:hAnsi="宋体" w:cs="宋体"/>
          <w:b/>
          <w:bCs/>
          <w:sz w:val="96"/>
          <w:szCs w:val="96"/>
        </w:rPr>
        <w:t>招 标 文 件</w:t>
      </w:r>
    </w:p>
    <w:p>
      <w:pPr>
        <w:pStyle w:val="23"/>
        <w:spacing w:line="500" w:lineRule="exact"/>
        <w:ind w:left="0"/>
        <w:jc w:val="center"/>
        <w:rPr>
          <w:rFonts w:hint="eastAsia" w:ascii="宋体" w:hAnsi="宋体" w:cs="宋体"/>
          <w:sz w:val="32"/>
        </w:rPr>
      </w:pPr>
    </w:p>
    <w:p>
      <w:pPr>
        <w:pStyle w:val="23"/>
        <w:spacing w:line="500" w:lineRule="exact"/>
        <w:ind w:left="0"/>
        <w:jc w:val="center"/>
        <w:rPr>
          <w:rFonts w:hint="eastAsia" w:ascii="宋体" w:hAnsi="宋体" w:cs="宋体"/>
          <w:sz w:val="32"/>
        </w:rPr>
      </w:pPr>
    </w:p>
    <w:p>
      <w:pPr>
        <w:pStyle w:val="23"/>
        <w:spacing w:line="500" w:lineRule="exact"/>
        <w:ind w:left="0"/>
        <w:jc w:val="center"/>
        <w:rPr>
          <w:rFonts w:hint="eastAsia" w:ascii="宋体" w:hAnsi="宋体" w:cs="宋体"/>
          <w:sz w:val="32"/>
        </w:rPr>
      </w:pPr>
    </w:p>
    <w:p>
      <w:pPr>
        <w:pStyle w:val="23"/>
        <w:spacing w:line="500" w:lineRule="exact"/>
        <w:ind w:left="0"/>
        <w:jc w:val="center"/>
        <w:rPr>
          <w:rFonts w:hint="eastAsia" w:ascii="宋体" w:hAnsi="宋体" w:cs="宋体"/>
          <w:sz w:val="32"/>
        </w:rPr>
      </w:pPr>
    </w:p>
    <w:p>
      <w:pPr>
        <w:pStyle w:val="23"/>
        <w:spacing w:line="500" w:lineRule="exact"/>
        <w:ind w:left="0"/>
        <w:jc w:val="center"/>
        <w:rPr>
          <w:rFonts w:hint="eastAsia" w:ascii="宋体" w:hAnsi="宋体" w:cs="宋体"/>
          <w:sz w:val="32"/>
        </w:rPr>
      </w:pPr>
    </w:p>
    <w:p>
      <w:pPr>
        <w:pStyle w:val="23"/>
        <w:spacing w:line="500" w:lineRule="exact"/>
        <w:ind w:left="0"/>
        <w:rPr>
          <w:rFonts w:hint="eastAsia" w:ascii="宋体" w:hAnsi="宋体" w:cs="宋体"/>
          <w:sz w:val="32"/>
        </w:rPr>
      </w:pPr>
    </w:p>
    <w:p>
      <w:pPr>
        <w:pStyle w:val="23"/>
        <w:spacing w:line="600" w:lineRule="auto"/>
        <w:ind w:left="958" w:leftChars="342"/>
        <w:jc w:val="left"/>
        <w:outlineLvl w:val="0"/>
        <w:rPr>
          <w:rFonts w:hint="eastAsia" w:ascii="宋体" w:hAnsi="宋体" w:cs="宋体"/>
          <w:sz w:val="30"/>
          <w:szCs w:val="30"/>
        </w:rPr>
      </w:pPr>
      <w:r>
        <w:rPr>
          <w:rFonts w:hint="eastAsia" w:ascii="宋体" w:hAnsi="宋体" w:cs="宋体"/>
          <w:sz w:val="30"/>
          <w:szCs w:val="30"/>
        </w:rPr>
        <w:t>项 目 名 称 ：重庆市万州高级技工学校超市供应商采购</w:t>
      </w:r>
    </w:p>
    <w:p>
      <w:pPr>
        <w:pStyle w:val="23"/>
        <w:spacing w:line="600" w:lineRule="auto"/>
        <w:ind w:left="958" w:leftChars="342"/>
        <w:jc w:val="left"/>
        <w:outlineLvl w:val="0"/>
        <w:rPr>
          <w:rFonts w:hint="eastAsia" w:ascii="宋体" w:hAnsi="宋体" w:cs="宋体"/>
          <w:sz w:val="30"/>
          <w:szCs w:val="30"/>
        </w:rPr>
      </w:pPr>
      <w:r>
        <w:rPr>
          <w:rFonts w:hint="eastAsia" w:ascii="宋体" w:hAnsi="宋体" w:cs="宋体"/>
          <w:sz w:val="30"/>
          <w:szCs w:val="30"/>
        </w:rPr>
        <w:t>采   购   人：重庆市万州高级技工学校</w:t>
      </w:r>
    </w:p>
    <w:p>
      <w:pPr>
        <w:pStyle w:val="23"/>
        <w:spacing w:line="600" w:lineRule="auto"/>
        <w:ind w:left="958" w:leftChars="342"/>
        <w:jc w:val="left"/>
        <w:outlineLvl w:val="0"/>
        <w:rPr>
          <w:rFonts w:hint="eastAsia" w:ascii="宋体" w:hAnsi="宋体" w:cs="宋体"/>
          <w:sz w:val="30"/>
          <w:szCs w:val="30"/>
        </w:rPr>
      </w:pPr>
      <w:r>
        <w:rPr>
          <w:rFonts w:hint="eastAsia" w:ascii="宋体" w:hAnsi="宋体" w:cs="宋体"/>
          <w:sz w:val="30"/>
          <w:szCs w:val="30"/>
        </w:rPr>
        <w:t>采购代理机构：重庆方郡建设工程咨询有限公司</w:t>
      </w:r>
    </w:p>
    <w:p>
      <w:pPr>
        <w:pStyle w:val="23"/>
        <w:spacing w:line="360" w:lineRule="auto"/>
        <w:ind w:left="958" w:leftChars="342"/>
        <w:jc w:val="left"/>
        <w:outlineLvl w:val="0"/>
        <w:rPr>
          <w:rFonts w:hint="eastAsia" w:ascii="宋体" w:hAnsi="宋体" w:cs="宋体"/>
          <w:sz w:val="30"/>
          <w:szCs w:val="30"/>
        </w:rPr>
      </w:pPr>
    </w:p>
    <w:p>
      <w:pPr>
        <w:snapToGrid w:val="0"/>
        <w:spacing w:line="500" w:lineRule="exact"/>
        <w:jc w:val="center"/>
        <w:rPr>
          <w:rFonts w:hint="eastAsia" w:ascii="宋体" w:hAnsi="宋体" w:cs="宋体"/>
          <w:sz w:val="36"/>
        </w:rPr>
      </w:pPr>
    </w:p>
    <w:p>
      <w:pPr>
        <w:pStyle w:val="2"/>
        <w:rPr>
          <w:rFonts w:hint="eastAsia" w:ascii="宋体" w:hAnsi="宋体" w:cs="宋体"/>
          <w:sz w:val="36"/>
        </w:rPr>
      </w:pPr>
    </w:p>
    <w:p>
      <w:pPr>
        <w:rPr>
          <w:rFonts w:hint="eastAsia"/>
        </w:rPr>
      </w:pPr>
    </w:p>
    <w:p>
      <w:pPr>
        <w:snapToGrid w:val="0"/>
        <w:spacing w:line="500" w:lineRule="exact"/>
        <w:jc w:val="center"/>
        <w:rPr>
          <w:rFonts w:hint="eastAsia" w:ascii="宋体" w:hAnsi="宋体" w:cs="宋体"/>
          <w:sz w:val="44"/>
        </w:rPr>
        <w:sectPr>
          <w:headerReference r:id="rId4" w:type="first"/>
          <w:headerReference r:id="rId3" w:type="default"/>
          <w:footerReference r:id="rId5" w:type="default"/>
          <w:footerReference r:id="rId6" w:type="even"/>
          <w:pgSz w:w="11907" w:h="16840"/>
          <w:pgMar w:top="1134" w:right="1191" w:bottom="1134" w:left="1304" w:header="964" w:footer="992" w:gutter="0"/>
          <w:pgNumType w:start="1"/>
          <w:cols w:space="720" w:num="1"/>
          <w:titlePg/>
          <w:docGrid w:linePitch="312" w:charSpace="0"/>
        </w:sectPr>
      </w:pPr>
      <w:r>
        <w:rPr>
          <w:rFonts w:hint="eastAsia" w:ascii="宋体" w:hAnsi="宋体" w:cs="宋体"/>
          <w:sz w:val="32"/>
          <w:szCs w:val="32"/>
        </w:rPr>
        <w:t>二○</w:t>
      </w:r>
      <w:r>
        <w:rPr>
          <w:rFonts w:hint="eastAsia" w:ascii="宋体" w:hAnsi="宋体" w:cs="宋体"/>
          <w:sz w:val="32"/>
          <w:szCs w:val="32"/>
          <w:lang w:eastAsia="zh-Hans"/>
        </w:rPr>
        <w:t>二</w:t>
      </w:r>
      <w:r>
        <w:rPr>
          <w:rFonts w:hint="eastAsia" w:ascii="宋体" w:hAnsi="宋体" w:cs="宋体"/>
          <w:sz w:val="32"/>
          <w:szCs w:val="32"/>
        </w:rPr>
        <w:t>一年</w:t>
      </w:r>
      <w:r>
        <w:rPr>
          <w:rFonts w:hint="eastAsia" w:ascii="宋体" w:hAnsi="宋体" w:cs="宋体"/>
          <w:sz w:val="32"/>
          <w:szCs w:val="32"/>
          <w:lang w:val="en-US" w:eastAsia="zh-CN"/>
        </w:rPr>
        <w:t>十</w:t>
      </w:r>
      <w:r>
        <w:rPr>
          <w:rFonts w:hint="eastAsia" w:ascii="宋体" w:hAnsi="宋体" w:cs="宋体"/>
          <w:sz w:val="32"/>
          <w:szCs w:val="32"/>
        </w:rPr>
        <w:t>月</w:t>
      </w:r>
    </w:p>
    <w:p>
      <w:pPr>
        <w:snapToGrid w:val="0"/>
        <w:spacing w:line="500" w:lineRule="exact"/>
        <w:jc w:val="center"/>
        <w:rPr>
          <w:rFonts w:hint="eastAsia" w:ascii="仿宋" w:hAnsi="仿宋" w:eastAsia="仿宋"/>
          <w:sz w:val="44"/>
        </w:rPr>
      </w:pPr>
      <w:r>
        <w:rPr>
          <w:rFonts w:hint="eastAsia" w:ascii="仿宋" w:hAnsi="仿宋" w:eastAsia="仿宋"/>
          <w:sz w:val="44"/>
        </w:rPr>
        <w:t>目  录</w:t>
      </w:r>
    </w:p>
    <w:p>
      <w:pPr>
        <w:pStyle w:val="37"/>
        <w:tabs>
          <w:tab w:val="right" w:leader="dot" w:pos="9412"/>
          <w:tab w:val="clear" w:pos="1260"/>
          <w:tab w:val="clear" w:pos="1685"/>
          <w:tab w:val="clear" w:pos="8400"/>
        </w:tabs>
        <w:ind w:firstLine="210"/>
      </w:pPr>
      <w:r>
        <w:rPr>
          <w:rFonts w:hint="eastAsia" w:ascii="仿宋" w:hAnsi="仿宋" w:eastAsia="仿宋"/>
          <w:sz w:val="21"/>
          <w:szCs w:val="21"/>
        </w:rPr>
        <w:fldChar w:fldCharType="begin"/>
      </w:r>
      <w:r>
        <w:rPr>
          <w:rFonts w:hint="eastAsia" w:ascii="仿宋" w:hAnsi="仿宋" w:eastAsia="仿宋"/>
          <w:sz w:val="21"/>
          <w:szCs w:val="21"/>
        </w:rPr>
        <w:instrText xml:space="preserve"> TOC \o "1-2" \h \z </w:instrText>
      </w:r>
      <w:r>
        <w:rPr>
          <w:rFonts w:hint="eastAsia" w:ascii="仿宋" w:hAnsi="仿宋" w:eastAsia="仿宋"/>
          <w:sz w:val="21"/>
          <w:szCs w:val="21"/>
        </w:rPr>
        <w:fldChar w:fldCharType="separate"/>
      </w:r>
      <w:r>
        <w:rPr>
          <w:rFonts w:hint="eastAsia" w:ascii="仿宋" w:hAnsi="仿宋" w:eastAsia="仿宋"/>
          <w:szCs w:val="21"/>
        </w:rPr>
        <w:fldChar w:fldCharType="begin"/>
      </w:r>
      <w:r>
        <w:rPr>
          <w:rFonts w:hint="eastAsia" w:ascii="仿宋" w:hAnsi="仿宋" w:eastAsia="仿宋"/>
          <w:szCs w:val="21"/>
        </w:rPr>
        <w:instrText xml:space="preserve"> HYPERLINK \l _Toc18829 </w:instrText>
      </w:r>
      <w:r>
        <w:rPr>
          <w:rFonts w:hint="eastAsia" w:ascii="仿宋" w:hAnsi="仿宋" w:eastAsia="仿宋"/>
          <w:szCs w:val="21"/>
        </w:rPr>
        <w:fldChar w:fldCharType="separate"/>
      </w:r>
      <w:r>
        <w:rPr>
          <w:rFonts w:ascii="仿宋" w:hAnsi="仿宋" w:eastAsia="仿宋"/>
        </w:rPr>
        <w:t>第一篇</w:t>
      </w:r>
      <w:r>
        <w:rPr>
          <w:rFonts w:hint="eastAsia" w:ascii="仿宋" w:hAnsi="仿宋" w:eastAsia="仿宋"/>
        </w:rPr>
        <w:t xml:space="preserve"> 投标邀请书</w:t>
      </w:r>
      <w:r>
        <w:tab/>
      </w:r>
      <w:r>
        <w:fldChar w:fldCharType="begin"/>
      </w:r>
      <w:r>
        <w:instrText xml:space="preserve"> PAGEREF _Toc18829 \h </w:instrText>
      </w:r>
      <w:r>
        <w:fldChar w:fldCharType="separate"/>
      </w:r>
      <w:r>
        <w:t>- 3 -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_Toc314 </w:instrText>
      </w:r>
      <w:r>
        <w:rPr>
          <w:rFonts w:hint="eastAsia" w:ascii="仿宋" w:hAnsi="仿宋" w:eastAsia="仿宋"/>
          <w:szCs w:val="21"/>
        </w:rPr>
        <w:fldChar w:fldCharType="separate"/>
      </w:r>
      <w:r>
        <w:rPr>
          <w:rFonts w:hint="eastAsia" w:ascii="仿宋" w:hAnsi="仿宋" w:eastAsia="仿宋"/>
        </w:rPr>
        <w:t>一、招标项目内容</w:t>
      </w:r>
      <w:r>
        <w:tab/>
      </w:r>
      <w:r>
        <w:fldChar w:fldCharType="begin"/>
      </w:r>
      <w:r>
        <w:instrText xml:space="preserve"> PAGEREF _Toc314 \h </w:instrText>
      </w:r>
      <w:r>
        <w:fldChar w:fldCharType="separate"/>
      </w:r>
      <w:r>
        <w:t>- 3 -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_Toc6374 </w:instrText>
      </w:r>
      <w:r>
        <w:rPr>
          <w:rFonts w:hint="eastAsia" w:ascii="仿宋" w:hAnsi="仿宋" w:eastAsia="仿宋"/>
          <w:szCs w:val="21"/>
        </w:rPr>
        <w:fldChar w:fldCharType="separate"/>
      </w:r>
      <w:r>
        <w:rPr>
          <w:rFonts w:hint="eastAsia" w:ascii="仿宋" w:hAnsi="仿宋" w:eastAsia="仿宋"/>
        </w:rPr>
        <w:t>二、资金来源</w:t>
      </w:r>
      <w:r>
        <w:tab/>
      </w:r>
      <w:r>
        <w:fldChar w:fldCharType="begin"/>
      </w:r>
      <w:r>
        <w:instrText xml:space="preserve"> PAGEREF _Toc6374 \h </w:instrText>
      </w:r>
      <w:r>
        <w:fldChar w:fldCharType="separate"/>
      </w:r>
      <w:r>
        <w:t>- 3 -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_Toc25397 </w:instrText>
      </w:r>
      <w:r>
        <w:rPr>
          <w:rFonts w:hint="eastAsia" w:ascii="仿宋" w:hAnsi="仿宋" w:eastAsia="仿宋"/>
          <w:szCs w:val="21"/>
        </w:rPr>
        <w:fldChar w:fldCharType="separate"/>
      </w:r>
      <w:r>
        <w:rPr>
          <w:rFonts w:hint="eastAsia" w:ascii="仿宋" w:hAnsi="仿宋" w:eastAsia="仿宋"/>
        </w:rPr>
        <w:t>三、投标人资格要求</w:t>
      </w:r>
      <w:r>
        <w:tab/>
      </w:r>
      <w:r>
        <w:fldChar w:fldCharType="begin"/>
      </w:r>
      <w:r>
        <w:instrText xml:space="preserve"> PAGEREF _Toc25397 \h </w:instrText>
      </w:r>
      <w:r>
        <w:fldChar w:fldCharType="separate"/>
      </w:r>
      <w:r>
        <w:t>- 3 -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_Toc10243 </w:instrText>
      </w:r>
      <w:r>
        <w:rPr>
          <w:rFonts w:hint="eastAsia" w:ascii="仿宋" w:hAnsi="仿宋" w:eastAsia="仿宋"/>
          <w:szCs w:val="21"/>
        </w:rPr>
        <w:fldChar w:fldCharType="separate"/>
      </w:r>
      <w:r>
        <w:rPr>
          <w:rFonts w:hint="eastAsia" w:ascii="仿宋" w:hAnsi="仿宋" w:eastAsia="仿宋"/>
        </w:rPr>
        <w:t>四、投标、开标有关说明</w:t>
      </w:r>
      <w:r>
        <w:tab/>
      </w:r>
      <w:r>
        <w:fldChar w:fldCharType="begin"/>
      </w:r>
      <w:r>
        <w:instrText xml:space="preserve"> PAGEREF _Toc10243 \h </w:instrText>
      </w:r>
      <w:r>
        <w:fldChar w:fldCharType="separate"/>
      </w:r>
      <w:r>
        <w:t>- 3 -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_Toc10075 </w:instrText>
      </w:r>
      <w:r>
        <w:rPr>
          <w:rFonts w:hint="eastAsia" w:ascii="仿宋" w:hAnsi="仿宋" w:eastAsia="仿宋"/>
          <w:szCs w:val="21"/>
        </w:rPr>
        <w:fldChar w:fldCharType="separate"/>
      </w:r>
      <w:r>
        <w:rPr>
          <w:rFonts w:hint="eastAsia" w:ascii="仿宋" w:hAnsi="仿宋" w:eastAsia="仿宋"/>
        </w:rPr>
        <w:t>五、投标保证金</w:t>
      </w:r>
      <w:r>
        <w:tab/>
      </w:r>
      <w:r>
        <w:fldChar w:fldCharType="begin"/>
      </w:r>
      <w:r>
        <w:instrText xml:space="preserve"> PAGEREF _Toc10075 \h </w:instrText>
      </w:r>
      <w:r>
        <w:fldChar w:fldCharType="separate"/>
      </w:r>
      <w:r>
        <w:t>- 4 -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_Toc21817 </w:instrText>
      </w:r>
      <w:r>
        <w:rPr>
          <w:rFonts w:hint="eastAsia" w:ascii="仿宋" w:hAnsi="仿宋" w:eastAsia="仿宋"/>
          <w:szCs w:val="21"/>
        </w:rPr>
        <w:fldChar w:fldCharType="separate"/>
      </w:r>
      <w:r>
        <w:rPr>
          <w:rFonts w:hint="eastAsia" w:ascii="仿宋" w:hAnsi="仿宋" w:eastAsia="仿宋"/>
        </w:rPr>
        <w:t>六、投标有关规定</w:t>
      </w:r>
      <w:r>
        <w:tab/>
      </w:r>
      <w:r>
        <w:fldChar w:fldCharType="begin"/>
      </w:r>
      <w:r>
        <w:instrText xml:space="preserve"> PAGEREF _Toc21817 \h </w:instrText>
      </w:r>
      <w:r>
        <w:fldChar w:fldCharType="separate"/>
      </w:r>
      <w:r>
        <w:t>- 5 -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_Toc18526 </w:instrText>
      </w:r>
      <w:r>
        <w:rPr>
          <w:rFonts w:hint="eastAsia" w:ascii="仿宋" w:hAnsi="仿宋" w:eastAsia="仿宋"/>
          <w:szCs w:val="21"/>
        </w:rPr>
        <w:fldChar w:fldCharType="separate"/>
      </w:r>
      <w:r>
        <w:rPr>
          <w:rFonts w:hint="eastAsia" w:ascii="仿宋" w:hAnsi="仿宋" w:eastAsia="仿宋"/>
        </w:rPr>
        <w:t>八、联系方式</w:t>
      </w:r>
      <w:r>
        <w:tab/>
      </w:r>
      <w:r>
        <w:fldChar w:fldCharType="begin"/>
      </w:r>
      <w:r>
        <w:instrText xml:space="preserve"> PAGEREF _Toc18526 \h </w:instrText>
      </w:r>
      <w:r>
        <w:fldChar w:fldCharType="separate"/>
      </w:r>
      <w:r>
        <w:t>- 5 -</w:t>
      </w:r>
      <w:r>
        <w:fldChar w:fldCharType="end"/>
      </w:r>
      <w:r>
        <w:rPr>
          <w:rFonts w:hint="eastAsia" w:ascii="仿宋" w:hAnsi="仿宋" w:eastAsia="仿宋"/>
          <w:szCs w:val="21"/>
        </w:rPr>
        <w:fldChar w:fldCharType="end"/>
      </w:r>
    </w:p>
    <w:p>
      <w:pPr>
        <w:pStyle w:val="37"/>
        <w:tabs>
          <w:tab w:val="right" w:leader="dot" w:pos="9412"/>
          <w:tab w:val="clear" w:pos="1260"/>
          <w:tab w:val="clear" w:pos="1685"/>
          <w:tab w:val="clear" w:pos="8400"/>
        </w:tabs>
      </w:pPr>
      <w:r>
        <w:rPr>
          <w:rFonts w:hint="eastAsia" w:ascii="仿宋" w:hAnsi="仿宋" w:eastAsia="仿宋"/>
          <w:szCs w:val="21"/>
        </w:rPr>
        <w:fldChar w:fldCharType="begin"/>
      </w:r>
      <w:r>
        <w:rPr>
          <w:rFonts w:hint="eastAsia" w:ascii="仿宋" w:hAnsi="仿宋" w:eastAsia="仿宋"/>
          <w:szCs w:val="21"/>
        </w:rPr>
        <w:instrText xml:space="preserve"> HYPERLINK \l _Toc14176 </w:instrText>
      </w:r>
      <w:r>
        <w:rPr>
          <w:rFonts w:hint="eastAsia" w:ascii="仿宋" w:hAnsi="仿宋" w:eastAsia="仿宋"/>
          <w:szCs w:val="21"/>
        </w:rPr>
        <w:fldChar w:fldCharType="separate"/>
      </w:r>
      <w:r>
        <w:rPr>
          <w:rFonts w:hint="eastAsia" w:ascii="仿宋" w:hAnsi="仿宋" w:eastAsia="仿宋"/>
        </w:rPr>
        <w:t>第二篇 项目技术规格、数量及质量要求</w:t>
      </w:r>
      <w:r>
        <w:tab/>
      </w:r>
      <w:r>
        <w:fldChar w:fldCharType="begin"/>
      </w:r>
      <w:r>
        <w:instrText xml:space="preserve"> PAGEREF _Toc14176 \h </w:instrText>
      </w:r>
      <w:r>
        <w:fldChar w:fldCharType="separate"/>
      </w:r>
      <w:r>
        <w:t>- 6 -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_Toc5368 </w:instrText>
      </w:r>
      <w:r>
        <w:rPr>
          <w:rFonts w:hint="eastAsia" w:ascii="仿宋" w:hAnsi="仿宋" w:eastAsia="仿宋"/>
          <w:szCs w:val="21"/>
        </w:rPr>
        <w:fldChar w:fldCharType="separate"/>
      </w:r>
      <w:r>
        <w:rPr>
          <w:rFonts w:hint="eastAsia" w:ascii="仿宋" w:hAnsi="仿宋" w:eastAsia="仿宋"/>
        </w:rPr>
        <w:t>一、招标项目一览表</w:t>
      </w:r>
      <w:r>
        <w:tab/>
      </w:r>
      <w:r>
        <w:fldChar w:fldCharType="begin"/>
      </w:r>
      <w:r>
        <w:instrText xml:space="preserve"> PAGEREF _Toc5368 \h </w:instrText>
      </w:r>
      <w:r>
        <w:fldChar w:fldCharType="separate"/>
      </w:r>
      <w:r>
        <w:t>- 6 -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_Toc12420 </w:instrText>
      </w:r>
      <w:r>
        <w:rPr>
          <w:rFonts w:hint="eastAsia" w:ascii="仿宋" w:hAnsi="仿宋" w:eastAsia="仿宋"/>
          <w:szCs w:val="21"/>
        </w:rPr>
        <w:fldChar w:fldCharType="separate"/>
      </w:r>
      <w:r>
        <w:rPr>
          <w:rFonts w:hint="eastAsia" w:ascii="仿宋" w:hAnsi="仿宋" w:eastAsia="仿宋"/>
        </w:rPr>
        <w:t>二、招标项目技术需求</w:t>
      </w:r>
      <w:r>
        <w:tab/>
      </w:r>
      <w:r>
        <w:fldChar w:fldCharType="begin"/>
      </w:r>
      <w:r>
        <w:instrText xml:space="preserve"> PAGEREF _Toc12420 \h </w:instrText>
      </w:r>
      <w:r>
        <w:fldChar w:fldCharType="separate"/>
      </w:r>
      <w:r>
        <w:t>- 6 -</w:t>
      </w:r>
      <w:r>
        <w:fldChar w:fldCharType="end"/>
      </w:r>
      <w:r>
        <w:rPr>
          <w:rFonts w:hint="eastAsia" w:ascii="仿宋" w:hAnsi="仿宋" w:eastAsia="仿宋"/>
          <w:szCs w:val="21"/>
        </w:rPr>
        <w:fldChar w:fldCharType="end"/>
      </w:r>
    </w:p>
    <w:p>
      <w:pPr>
        <w:pStyle w:val="37"/>
        <w:tabs>
          <w:tab w:val="right" w:leader="dot" w:pos="9412"/>
          <w:tab w:val="clear" w:pos="1260"/>
          <w:tab w:val="clear" w:pos="1685"/>
          <w:tab w:val="clear" w:pos="8400"/>
        </w:tabs>
      </w:pPr>
      <w:r>
        <w:rPr>
          <w:rFonts w:hint="eastAsia" w:ascii="仿宋" w:hAnsi="仿宋" w:eastAsia="仿宋"/>
          <w:szCs w:val="21"/>
        </w:rPr>
        <w:fldChar w:fldCharType="begin"/>
      </w:r>
      <w:r>
        <w:rPr>
          <w:rFonts w:hint="eastAsia" w:ascii="仿宋" w:hAnsi="仿宋" w:eastAsia="仿宋"/>
          <w:szCs w:val="21"/>
        </w:rPr>
        <w:instrText xml:space="preserve"> HYPERLINK \l _Toc25689 </w:instrText>
      </w:r>
      <w:r>
        <w:rPr>
          <w:rFonts w:hint="eastAsia" w:ascii="仿宋" w:hAnsi="仿宋" w:eastAsia="仿宋"/>
          <w:szCs w:val="21"/>
        </w:rPr>
        <w:fldChar w:fldCharType="separate"/>
      </w:r>
      <w:r>
        <w:rPr>
          <w:rFonts w:hint="eastAsia" w:ascii="仿宋" w:hAnsi="仿宋" w:eastAsia="仿宋"/>
        </w:rPr>
        <w:t>第三篇  项目商务要求</w:t>
      </w:r>
      <w:r>
        <w:tab/>
      </w:r>
      <w:r>
        <w:fldChar w:fldCharType="begin"/>
      </w:r>
      <w:r>
        <w:instrText xml:space="preserve"> PAGEREF _Toc25689 \h </w:instrText>
      </w:r>
      <w:r>
        <w:fldChar w:fldCharType="separate"/>
      </w:r>
      <w:r>
        <w:t>- 11 -</w:t>
      </w:r>
      <w:r>
        <w:fldChar w:fldCharType="end"/>
      </w:r>
      <w:r>
        <w:rPr>
          <w:rFonts w:hint="eastAsia" w:ascii="仿宋" w:hAnsi="仿宋" w:eastAsia="仿宋"/>
          <w:szCs w:val="21"/>
        </w:rPr>
        <w:fldChar w:fldCharType="end"/>
      </w:r>
    </w:p>
    <w:p>
      <w:pPr>
        <w:pStyle w:val="37"/>
        <w:tabs>
          <w:tab w:val="right" w:leader="dot" w:pos="9412"/>
          <w:tab w:val="clear" w:pos="1260"/>
          <w:tab w:val="clear" w:pos="1685"/>
          <w:tab w:val="clear" w:pos="8400"/>
        </w:tabs>
      </w:pPr>
      <w:r>
        <w:rPr>
          <w:rFonts w:hint="eastAsia" w:ascii="仿宋" w:hAnsi="仿宋" w:eastAsia="仿宋"/>
          <w:szCs w:val="21"/>
        </w:rPr>
        <w:fldChar w:fldCharType="begin"/>
      </w:r>
      <w:r>
        <w:rPr>
          <w:rFonts w:hint="eastAsia" w:ascii="仿宋" w:hAnsi="仿宋" w:eastAsia="仿宋"/>
          <w:szCs w:val="21"/>
        </w:rPr>
        <w:instrText xml:space="preserve"> HYPERLINK \l _Toc2844 </w:instrText>
      </w:r>
      <w:r>
        <w:rPr>
          <w:rFonts w:hint="eastAsia" w:ascii="仿宋" w:hAnsi="仿宋" w:eastAsia="仿宋"/>
          <w:szCs w:val="21"/>
        </w:rPr>
        <w:fldChar w:fldCharType="separate"/>
      </w:r>
      <w:r>
        <w:rPr>
          <w:rFonts w:hint="eastAsia" w:ascii="仿宋" w:hAnsi="仿宋" w:eastAsia="仿宋"/>
        </w:rPr>
        <w:t>第四篇  资格审查及评标办法</w:t>
      </w:r>
      <w:r>
        <w:tab/>
      </w:r>
      <w:r>
        <w:fldChar w:fldCharType="begin"/>
      </w:r>
      <w:r>
        <w:instrText xml:space="preserve"> PAGEREF _Toc2844 \h </w:instrText>
      </w:r>
      <w:r>
        <w:fldChar w:fldCharType="separate"/>
      </w:r>
      <w:r>
        <w:t>- 14 -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_Toc3835 </w:instrText>
      </w:r>
      <w:r>
        <w:rPr>
          <w:rFonts w:hint="eastAsia" w:ascii="仿宋" w:hAnsi="仿宋" w:eastAsia="仿宋"/>
          <w:szCs w:val="21"/>
        </w:rPr>
        <w:fldChar w:fldCharType="separate"/>
      </w:r>
      <w:r>
        <w:rPr>
          <w:rFonts w:hint="eastAsia" w:ascii="仿宋" w:hAnsi="仿宋" w:eastAsia="仿宋"/>
          <w:szCs w:val="24"/>
        </w:rPr>
        <w:t>一、资格审查</w:t>
      </w:r>
      <w:r>
        <w:tab/>
      </w:r>
      <w:r>
        <w:fldChar w:fldCharType="begin"/>
      </w:r>
      <w:r>
        <w:instrText xml:space="preserve"> PAGEREF _Toc3835 \h </w:instrText>
      </w:r>
      <w:r>
        <w:fldChar w:fldCharType="separate"/>
      </w:r>
      <w:r>
        <w:t>- 14 -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_Toc7706 </w:instrText>
      </w:r>
      <w:r>
        <w:rPr>
          <w:rFonts w:hint="eastAsia" w:ascii="仿宋" w:hAnsi="仿宋" w:eastAsia="仿宋"/>
          <w:szCs w:val="21"/>
        </w:rPr>
        <w:fldChar w:fldCharType="separate"/>
      </w:r>
      <w:r>
        <w:rPr>
          <w:rFonts w:hint="eastAsia" w:ascii="仿宋" w:hAnsi="仿宋" w:eastAsia="仿宋"/>
          <w:szCs w:val="24"/>
        </w:rPr>
        <w:t>二、评标方法</w:t>
      </w:r>
      <w:r>
        <w:tab/>
      </w:r>
      <w:r>
        <w:fldChar w:fldCharType="begin"/>
      </w:r>
      <w:r>
        <w:instrText xml:space="preserve"> PAGEREF _Toc7706 \h </w:instrText>
      </w:r>
      <w:r>
        <w:fldChar w:fldCharType="separate"/>
      </w:r>
      <w:r>
        <w:t>- 15 -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_Toc22266 </w:instrText>
      </w:r>
      <w:r>
        <w:rPr>
          <w:rFonts w:hint="eastAsia" w:ascii="仿宋" w:hAnsi="仿宋" w:eastAsia="仿宋"/>
          <w:szCs w:val="21"/>
        </w:rPr>
        <w:fldChar w:fldCharType="separate"/>
      </w:r>
      <w:r>
        <w:rPr>
          <w:rFonts w:hint="eastAsia"/>
        </w:rPr>
        <w:t xml:space="preserve">三、 </w:t>
      </w:r>
      <w:r>
        <w:rPr>
          <w:rFonts w:hint="eastAsia" w:ascii="仿宋" w:hAnsi="仿宋" w:eastAsia="仿宋"/>
          <w:szCs w:val="24"/>
        </w:rPr>
        <w:t>评标标准</w:t>
      </w:r>
      <w:r>
        <w:tab/>
      </w:r>
      <w:r>
        <w:fldChar w:fldCharType="begin"/>
      </w:r>
      <w:r>
        <w:instrText xml:space="preserve"> PAGEREF _Toc22266 \h </w:instrText>
      </w:r>
      <w:r>
        <w:fldChar w:fldCharType="separate"/>
      </w:r>
      <w:r>
        <w:t>- 16 -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_Toc5708 </w:instrText>
      </w:r>
      <w:r>
        <w:rPr>
          <w:rFonts w:hint="eastAsia" w:ascii="仿宋" w:hAnsi="仿宋" w:eastAsia="仿宋"/>
          <w:szCs w:val="21"/>
        </w:rPr>
        <w:fldChar w:fldCharType="separate"/>
      </w:r>
      <w:r>
        <w:rPr>
          <w:rFonts w:hint="eastAsia" w:ascii="仿宋" w:hAnsi="仿宋" w:eastAsia="仿宋"/>
          <w:szCs w:val="24"/>
        </w:rPr>
        <w:t>四、无效投标条款</w:t>
      </w:r>
      <w:r>
        <w:tab/>
      </w:r>
      <w:r>
        <w:fldChar w:fldCharType="begin"/>
      </w:r>
      <w:r>
        <w:instrText xml:space="preserve"> PAGEREF _Toc5708 \h </w:instrText>
      </w:r>
      <w:r>
        <w:fldChar w:fldCharType="separate"/>
      </w:r>
      <w:r>
        <w:t>- 17 -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_Toc1137 </w:instrText>
      </w:r>
      <w:r>
        <w:rPr>
          <w:rFonts w:hint="eastAsia" w:ascii="仿宋" w:hAnsi="仿宋" w:eastAsia="仿宋"/>
          <w:szCs w:val="21"/>
        </w:rPr>
        <w:fldChar w:fldCharType="separate"/>
      </w:r>
      <w:r>
        <w:rPr>
          <w:rFonts w:hint="eastAsia" w:ascii="仿宋" w:hAnsi="仿宋" w:eastAsia="仿宋"/>
          <w:szCs w:val="24"/>
        </w:rPr>
        <w:t>五、废标条款</w:t>
      </w:r>
      <w:r>
        <w:tab/>
      </w:r>
      <w:r>
        <w:fldChar w:fldCharType="begin"/>
      </w:r>
      <w:r>
        <w:instrText xml:space="preserve"> PAGEREF _Toc1137 \h </w:instrText>
      </w:r>
      <w:r>
        <w:fldChar w:fldCharType="separate"/>
      </w:r>
      <w:r>
        <w:t>- 17 -</w:t>
      </w:r>
      <w:r>
        <w:fldChar w:fldCharType="end"/>
      </w:r>
      <w:r>
        <w:rPr>
          <w:rFonts w:hint="eastAsia" w:ascii="仿宋" w:hAnsi="仿宋" w:eastAsia="仿宋"/>
          <w:szCs w:val="21"/>
        </w:rPr>
        <w:fldChar w:fldCharType="end"/>
      </w:r>
    </w:p>
    <w:p>
      <w:pPr>
        <w:pStyle w:val="37"/>
        <w:tabs>
          <w:tab w:val="right" w:leader="dot" w:pos="9412"/>
          <w:tab w:val="clear" w:pos="1260"/>
          <w:tab w:val="clear" w:pos="1685"/>
          <w:tab w:val="clear" w:pos="8400"/>
        </w:tabs>
      </w:pPr>
      <w:r>
        <w:rPr>
          <w:rFonts w:hint="eastAsia" w:ascii="仿宋" w:hAnsi="仿宋" w:eastAsia="仿宋"/>
          <w:szCs w:val="21"/>
        </w:rPr>
        <w:fldChar w:fldCharType="begin"/>
      </w:r>
      <w:r>
        <w:rPr>
          <w:rFonts w:hint="eastAsia" w:ascii="仿宋" w:hAnsi="仿宋" w:eastAsia="仿宋"/>
          <w:szCs w:val="21"/>
        </w:rPr>
        <w:instrText xml:space="preserve"> HYPERLINK \l _Toc14305 </w:instrText>
      </w:r>
      <w:r>
        <w:rPr>
          <w:rFonts w:hint="eastAsia" w:ascii="仿宋" w:hAnsi="仿宋" w:eastAsia="仿宋"/>
          <w:szCs w:val="21"/>
        </w:rPr>
        <w:fldChar w:fldCharType="separate"/>
      </w:r>
      <w:r>
        <w:rPr>
          <w:rFonts w:hint="eastAsia" w:ascii="仿宋" w:hAnsi="仿宋" w:eastAsia="仿宋"/>
        </w:rPr>
        <w:t>第五篇  投标人须知</w:t>
      </w:r>
      <w:r>
        <w:tab/>
      </w:r>
      <w:r>
        <w:fldChar w:fldCharType="begin"/>
      </w:r>
      <w:r>
        <w:instrText xml:space="preserve"> PAGEREF _Toc14305 \h </w:instrText>
      </w:r>
      <w:r>
        <w:fldChar w:fldCharType="separate"/>
      </w:r>
      <w:r>
        <w:t>- 19 -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_Toc23908 </w:instrText>
      </w:r>
      <w:r>
        <w:rPr>
          <w:rFonts w:hint="eastAsia" w:ascii="仿宋" w:hAnsi="仿宋" w:eastAsia="仿宋"/>
          <w:szCs w:val="21"/>
        </w:rPr>
        <w:fldChar w:fldCharType="separate"/>
      </w:r>
      <w:r>
        <w:rPr>
          <w:rFonts w:hint="eastAsia" w:ascii="仿宋" w:hAnsi="仿宋" w:eastAsia="仿宋"/>
        </w:rPr>
        <w:t>一、投标人</w:t>
      </w:r>
      <w:r>
        <w:tab/>
      </w:r>
      <w:r>
        <w:fldChar w:fldCharType="begin"/>
      </w:r>
      <w:r>
        <w:instrText xml:space="preserve"> PAGEREF _Toc23908 \h </w:instrText>
      </w:r>
      <w:r>
        <w:fldChar w:fldCharType="separate"/>
      </w:r>
      <w:r>
        <w:t>- 19 -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_Toc16664 </w:instrText>
      </w:r>
      <w:r>
        <w:rPr>
          <w:rFonts w:hint="eastAsia" w:ascii="仿宋" w:hAnsi="仿宋" w:eastAsia="仿宋"/>
          <w:szCs w:val="21"/>
        </w:rPr>
        <w:fldChar w:fldCharType="separate"/>
      </w:r>
      <w:r>
        <w:rPr>
          <w:rFonts w:hint="eastAsia" w:ascii="仿宋" w:hAnsi="仿宋" w:eastAsia="仿宋"/>
        </w:rPr>
        <w:t>二、招标文件</w:t>
      </w:r>
      <w:r>
        <w:tab/>
      </w:r>
      <w:r>
        <w:fldChar w:fldCharType="begin"/>
      </w:r>
      <w:r>
        <w:instrText xml:space="preserve"> PAGEREF _Toc16664 \h </w:instrText>
      </w:r>
      <w:r>
        <w:fldChar w:fldCharType="separate"/>
      </w:r>
      <w:r>
        <w:t>- 19 -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_Toc7732 </w:instrText>
      </w:r>
      <w:r>
        <w:rPr>
          <w:rFonts w:hint="eastAsia" w:ascii="仿宋" w:hAnsi="仿宋" w:eastAsia="仿宋"/>
          <w:szCs w:val="21"/>
        </w:rPr>
        <w:fldChar w:fldCharType="separate"/>
      </w:r>
      <w:r>
        <w:rPr>
          <w:rFonts w:hint="eastAsia" w:ascii="仿宋" w:hAnsi="仿宋" w:eastAsia="仿宋"/>
        </w:rPr>
        <w:t>三、投标文件</w:t>
      </w:r>
      <w:r>
        <w:tab/>
      </w:r>
      <w:r>
        <w:fldChar w:fldCharType="begin"/>
      </w:r>
      <w:r>
        <w:instrText xml:space="preserve"> PAGEREF _Toc7732 \h </w:instrText>
      </w:r>
      <w:r>
        <w:fldChar w:fldCharType="separate"/>
      </w:r>
      <w:r>
        <w:t>- 19 -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_Toc8033 </w:instrText>
      </w:r>
      <w:r>
        <w:rPr>
          <w:rFonts w:hint="eastAsia" w:ascii="仿宋" w:hAnsi="仿宋" w:eastAsia="仿宋"/>
          <w:szCs w:val="21"/>
        </w:rPr>
        <w:fldChar w:fldCharType="separate"/>
      </w:r>
      <w:r>
        <w:rPr>
          <w:rFonts w:hint="eastAsia" w:ascii="仿宋" w:hAnsi="仿宋" w:eastAsia="仿宋"/>
        </w:rPr>
        <w:t>四、开标</w:t>
      </w:r>
      <w:r>
        <w:tab/>
      </w:r>
      <w:r>
        <w:fldChar w:fldCharType="begin"/>
      </w:r>
      <w:r>
        <w:instrText xml:space="preserve"> PAGEREF _Toc8033 \h </w:instrText>
      </w:r>
      <w:r>
        <w:fldChar w:fldCharType="separate"/>
      </w:r>
      <w:r>
        <w:t>- 21 -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_Toc32459 </w:instrText>
      </w:r>
      <w:r>
        <w:rPr>
          <w:rFonts w:hint="eastAsia" w:ascii="仿宋" w:hAnsi="仿宋" w:eastAsia="仿宋"/>
          <w:szCs w:val="21"/>
        </w:rPr>
        <w:fldChar w:fldCharType="separate"/>
      </w:r>
      <w:r>
        <w:rPr>
          <w:rFonts w:hint="eastAsia" w:ascii="仿宋" w:hAnsi="仿宋" w:eastAsia="仿宋"/>
        </w:rPr>
        <w:t>五、评标</w:t>
      </w:r>
      <w:r>
        <w:tab/>
      </w:r>
      <w:r>
        <w:fldChar w:fldCharType="begin"/>
      </w:r>
      <w:r>
        <w:instrText xml:space="preserve"> PAGEREF _Toc32459 \h </w:instrText>
      </w:r>
      <w:r>
        <w:fldChar w:fldCharType="separate"/>
      </w:r>
      <w:r>
        <w:t>- 21 -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_Toc29295 </w:instrText>
      </w:r>
      <w:r>
        <w:rPr>
          <w:rFonts w:hint="eastAsia" w:ascii="仿宋" w:hAnsi="仿宋" w:eastAsia="仿宋"/>
          <w:szCs w:val="21"/>
        </w:rPr>
        <w:fldChar w:fldCharType="separate"/>
      </w:r>
      <w:r>
        <w:rPr>
          <w:rFonts w:hint="eastAsia" w:ascii="仿宋" w:hAnsi="仿宋" w:eastAsia="仿宋"/>
        </w:rPr>
        <w:t>六、定标</w:t>
      </w:r>
      <w:r>
        <w:tab/>
      </w:r>
      <w:r>
        <w:fldChar w:fldCharType="begin"/>
      </w:r>
      <w:r>
        <w:instrText xml:space="preserve"> PAGEREF _Toc29295 \h </w:instrText>
      </w:r>
      <w:r>
        <w:fldChar w:fldCharType="separate"/>
      </w:r>
      <w:r>
        <w:t>- 21 -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_Toc29128 </w:instrText>
      </w:r>
      <w:r>
        <w:rPr>
          <w:rFonts w:hint="eastAsia" w:ascii="仿宋" w:hAnsi="仿宋" w:eastAsia="仿宋"/>
          <w:szCs w:val="21"/>
        </w:rPr>
        <w:fldChar w:fldCharType="separate"/>
      </w:r>
      <w:r>
        <w:rPr>
          <w:rFonts w:hint="eastAsia" w:ascii="仿宋" w:hAnsi="仿宋" w:eastAsia="仿宋"/>
        </w:rPr>
        <w:t>七、中标通知书</w:t>
      </w:r>
      <w:r>
        <w:tab/>
      </w:r>
      <w:r>
        <w:fldChar w:fldCharType="begin"/>
      </w:r>
      <w:r>
        <w:instrText xml:space="preserve"> PAGEREF _Toc29128 \h </w:instrText>
      </w:r>
      <w:r>
        <w:fldChar w:fldCharType="separate"/>
      </w:r>
      <w:r>
        <w:t>- 22 -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_Toc29978 </w:instrText>
      </w:r>
      <w:r>
        <w:rPr>
          <w:rFonts w:hint="eastAsia" w:ascii="仿宋" w:hAnsi="仿宋" w:eastAsia="仿宋"/>
          <w:szCs w:val="21"/>
        </w:rPr>
        <w:fldChar w:fldCharType="separate"/>
      </w:r>
      <w:r>
        <w:rPr>
          <w:rFonts w:hint="eastAsia" w:ascii="仿宋" w:hAnsi="仿宋" w:eastAsia="仿宋"/>
        </w:rPr>
        <w:t>八、</w:t>
      </w:r>
      <w:r>
        <w:rPr>
          <w:rFonts w:hint="eastAsia" w:ascii="仿宋" w:hAnsi="仿宋" w:eastAsia="仿宋" w:cs="仿宋"/>
        </w:rPr>
        <w:t>询问、质疑和投诉</w:t>
      </w:r>
      <w:r>
        <w:tab/>
      </w:r>
      <w:r>
        <w:fldChar w:fldCharType="begin"/>
      </w:r>
      <w:r>
        <w:instrText xml:space="preserve"> PAGEREF _Toc29978 \h </w:instrText>
      </w:r>
      <w:r>
        <w:fldChar w:fldCharType="separate"/>
      </w:r>
      <w:r>
        <w:t>- 22 -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_Toc30334 </w:instrText>
      </w:r>
      <w:r>
        <w:rPr>
          <w:rFonts w:hint="eastAsia" w:ascii="仿宋" w:hAnsi="仿宋" w:eastAsia="仿宋"/>
          <w:szCs w:val="21"/>
        </w:rPr>
        <w:fldChar w:fldCharType="separate"/>
      </w:r>
      <w:r>
        <w:rPr>
          <w:rFonts w:hint="eastAsia" w:ascii="仿宋" w:hAnsi="仿宋" w:eastAsia="仿宋"/>
        </w:rPr>
        <w:t>九、签订合同</w:t>
      </w:r>
      <w:r>
        <w:tab/>
      </w:r>
      <w:r>
        <w:fldChar w:fldCharType="begin"/>
      </w:r>
      <w:r>
        <w:instrText xml:space="preserve"> PAGEREF _Toc30334 \h </w:instrText>
      </w:r>
      <w:r>
        <w:fldChar w:fldCharType="separate"/>
      </w:r>
      <w:r>
        <w:t>- 23 -</w:t>
      </w:r>
      <w:r>
        <w:fldChar w:fldCharType="end"/>
      </w:r>
      <w:r>
        <w:rPr>
          <w:rFonts w:hint="eastAsia" w:ascii="仿宋" w:hAnsi="仿宋" w:eastAsia="仿宋"/>
          <w:szCs w:val="21"/>
        </w:rPr>
        <w:fldChar w:fldCharType="end"/>
      </w:r>
    </w:p>
    <w:p>
      <w:pPr>
        <w:pStyle w:val="37"/>
        <w:tabs>
          <w:tab w:val="right" w:leader="dot" w:pos="9412"/>
          <w:tab w:val="clear" w:pos="1260"/>
          <w:tab w:val="clear" w:pos="1685"/>
          <w:tab w:val="clear" w:pos="8400"/>
        </w:tabs>
      </w:pPr>
      <w:r>
        <w:rPr>
          <w:rFonts w:hint="eastAsia" w:ascii="仿宋" w:hAnsi="仿宋" w:eastAsia="仿宋"/>
          <w:szCs w:val="21"/>
        </w:rPr>
        <w:fldChar w:fldCharType="begin"/>
      </w:r>
      <w:r>
        <w:rPr>
          <w:rFonts w:hint="eastAsia" w:ascii="仿宋" w:hAnsi="仿宋" w:eastAsia="仿宋"/>
          <w:szCs w:val="21"/>
        </w:rPr>
        <w:instrText xml:space="preserve"> HYPERLINK \l _Toc25082 </w:instrText>
      </w:r>
      <w:r>
        <w:rPr>
          <w:rFonts w:hint="eastAsia" w:ascii="仿宋" w:hAnsi="仿宋" w:eastAsia="仿宋"/>
          <w:szCs w:val="21"/>
        </w:rPr>
        <w:fldChar w:fldCharType="separate"/>
      </w:r>
      <w:r>
        <w:rPr>
          <w:rFonts w:hint="eastAsia" w:ascii="仿宋" w:hAnsi="仿宋" w:eastAsia="仿宋"/>
        </w:rPr>
        <w:t>第六篇  合同主要条款和格式合同（样本）</w:t>
      </w:r>
      <w:r>
        <w:tab/>
      </w:r>
      <w:r>
        <w:fldChar w:fldCharType="begin"/>
      </w:r>
      <w:r>
        <w:instrText xml:space="preserve"> PAGEREF _Toc25082 \h </w:instrText>
      </w:r>
      <w:r>
        <w:fldChar w:fldCharType="separate"/>
      </w:r>
      <w:r>
        <w:t>- 24 -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_Toc23428 </w:instrText>
      </w:r>
      <w:r>
        <w:rPr>
          <w:rFonts w:hint="eastAsia" w:ascii="仿宋" w:hAnsi="仿宋" w:eastAsia="仿宋"/>
          <w:szCs w:val="21"/>
        </w:rPr>
        <w:fldChar w:fldCharType="separate"/>
      </w:r>
      <w:r>
        <w:rPr>
          <w:rFonts w:hint="eastAsia" w:ascii="仿宋" w:hAnsi="仿宋" w:eastAsia="仿宋"/>
        </w:rPr>
        <w:t>一、合同主要条款</w:t>
      </w:r>
      <w:r>
        <w:tab/>
      </w:r>
      <w:r>
        <w:fldChar w:fldCharType="begin"/>
      </w:r>
      <w:r>
        <w:instrText xml:space="preserve"> PAGEREF _Toc23428 \h </w:instrText>
      </w:r>
      <w:r>
        <w:fldChar w:fldCharType="separate"/>
      </w:r>
      <w:r>
        <w:t>- 24 -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_Toc23067 </w:instrText>
      </w:r>
      <w:r>
        <w:rPr>
          <w:rFonts w:hint="eastAsia" w:ascii="仿宋" w:hAnsi="仿宋" w:eastAsia="仿宋"/>
          <w:szCs w:val="21"/>
        </w:rPr>
        <w:fldChar w:fldCharType="separate"/>
      </w:r>
      <w:r>
        <w:rPr>
          <w:rFonts w:hint="eastAsia" w:ascii="仿宋" w:hAnsi="仿宋" w:eastAsia="仿宋"/>
        </w:rPr>
        <w:t>二、政府采购合同（格式）</w:t>
      </w:r>
      <w:r>
        <w:tab/>
      </w:r>
      <w:r>
        <w:fldChar w:fldCharType="begin"/>
      </w:r>
      <w:r>
        <w:instrText xml:space="preserve"> PAGEREF _Toc23067 \h </w:instrText>
      </w:r>
      <w:r>
        <w:fldChar w:fldCharType="separate"/>
      </w:r>
      <w:r>
        <w:t>- 27 -</w:t>
      </w:r>
      <w:r>
        <w:fldChar w:fldCharType="end"/>
      </w:r>
      <w:r>
        <w:rPr>
          <w:rFonts w:hint="eastAsia" w:ascii="仿宋" w:hAnsi="仿宋" w:eastAsia="仿宋"/>
          <w:szCs w:val="21"/>
        </w:rPr>
        <w:fldChar w:fldCharType="end"/>
      </w:r>
    </w:p>
    <w:p>
      <w:pPr>
        <w:pStyle w:val="37"/>
        <w:tabs>
          <w:tab w:val="right" w:leader="dot" w:pos="9412"/>
          <w:tab w:val="clear" w:pos="1260"/>
          <w:tab w:val="clear" w:pos="1685"/>
          <w:tab w:val="clear" w:pos="8400"/>
        </w:tabs>
      </w:pPr>
      <w:r>
        <w:rPr>
          <w:rFonts w:hint="eastAsia" w:ascii="仿宋" w:hAnsi="仿宋" w:eastAsia="仿宋"/>
          <w:szCs w:val="21"/>
        </w:rPr>
        <w:fldChar w:fldCharType="begin"/>
      </w:r>
      <w:r>
        <w:rPr>
          <w:rFonts w:hint="eastAsia" w:ascii="仿宋" w:hAnsi="仿宋" w:eastAsia="仿宋"/>
          <w:szCs w:val="21"/>
        </w:rPr>
        <w:instrText xml:space="preserve"> HYPERLINK \l _Toc32548 </w:instrText>
      </w:r>
      <w:r>
        <w:rPr>
          <w:rFonts w:hint="eastAsia" w:ascii="仿宋" w:hAnsi="仿宋" w:eastAsia="仿宋"/>
          <w:szCs w:val="21"/>
        </w:rPr>
        <w:fldChar w:fldCharType="separate"/>
      </w:r>
      <w:r>
        <w:rPr>
          <w:rFonts w:hint="eastAsia" w:ascii="仿宋" w:hAnsi="仿宋" w:eastAsia="仿宋"/>
        </w:rPr>
        <w:t>第七篇  投标文件格式</w:t>
      </w:r>
      <w:r>
        <w:tab/>
      </w:r>
      <w:r>
        <w:fldChar w:fldCharType="begin"/>
      </w:r>
      <w:r>
        <w:instrText xml:space="preserve"> PAGEREF _Toc32548 \h </w:instrText>
      </w:r>
      <w:r>
        <w:fldChar w:fldCharType="separate"/>
      </w:r>
      <w:r>
        <w:t>- 29 -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_Toc17998 </w:instrText>
      </w:r>
      <w:r>
        <w:rPr>
          <w:rFonts w:hint="eastAsia" w:ascii="仿宋" w:hAnsi="仿宋" w:eastAsia="仿宋"/>
          <w:szCs w:val="21"/>
        </w:rPr>
        <w:fldChar w:fldCharType="separate"/>
      </w:r>
      <w:r>
        <w:rPr>
          <w:rFonts w:hint="eastAsia" w:ascii="仿宋" w:hAnsi="仿宋" w:eastAsia="仿宋"/>
          <w:szCs w:val="28"/>
        </w:rPr>
        <w:t>一、经济文件</w:t>
      </w:r>
      <w:r>
        <w:tab/>
      </w:r>
      <w:r>
        <w:fldChar w:fldCharType="begin"/>
      </w:r>
      <w:r>
        <w:instrText xml:space="preserve"> PAGEREF _Toc17998 \h </w:instrText>
      </w:r>
      <w:r>
        <w:fldChar w:fldCharType="separate"/>
      </w:r>
      <w:r>
        <w:t>- 30 -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_Toc17394 </w:instrText>
      </w:r>
      <w:r>
        <w:rPr>
          <w:rFonts w:hint="eastAsia" w:ascii="仿宋" w:hAnsi="仿宋" w:eastAsia="仿宋"/>
          <w:szCs w:val="21"/>
        </w:rPr>
        <w:fldChar w:fldCharType="separate"/>
      </w:r>
      <w:r>
        <w:rPr>
          <w:rFonts w:hint="eastAsia" w:ascii="仿宋" w:hAnsi="仿宋" w:eastAsia="仿宋"/>
          <w:szCs w:val="28"/>
        </w:rPr>
        <w:t>二、技术文件</w:t>
      </w:r>
      <w:r>
        <w:tab/>
      </w:r>
      <w:r>
        <w:fldChar w:fldCharType="begin"/>
      </w:r>
      <w:r>
        <w:instrText xml:space="preserve"> PAGEREF _Toc17394 \h </w:instrText>
      </w:r>
      <w:r>
        <w:fldChar w:fldCharType="separate"/>
      </w:r>
      <w:r>
        <w:t>- 32 -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_Toc12240 </w:instrText>
      </w:r>
      <w:r>
        <w:rPr>
          <w:rFonts w:hint="eastAsia" w:ascii="仿宋" w:hAnsi="仿宋" w:eastAsia="仿宋"/>
          <w:szCs w:val="21"/>
        </w:rPr>
        <w:fldChar w:fldCharType="separate"/>
      </w:r>
      <w:r>
        <w:rPr>
          <w:rFonts w:hint="eastAsia" w:ascii="仿宋" w:hAnsi="仿宋" w:eastAsia="仿宋"/>
          <w:szCs w:val="28"/>
        </w:rPr>
        <w:t>三、商务文件</w:t>
      </w:r>
      <w:r>
        <w:tab/>
      </w:r>
      <w:r>
        <w:fldChar w:fldCharType="begin"/>
      </w:r>
      <w:r>
        <w:instrText xml:space="preserve"> PAGEREF _Toc12240 \h </w:instrText>
      </w:r>
      <w:r>
        <w:fldChar w:fldCharType="separate"/>
      </w:r>
      <w:r>
        <w:t>- 35 -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_Toc25413 </w:instrText>
      </w:r>
      <w:r>
        <w:rPr>
          <w:rFonts w:hint="eastAsia" w:ascii="仿宋" w:hAnsi="仿宋" w:eastAsia="仿宋"/>
          <w:szCs w:val="21"/>
        </w:rPr>
        <w:fldChar w:fldCharType="separate"/>
      </w:r>
      <w:r>
        <w:rPr>
          <w:rFonts w:hint="eastAsia" w:ascii="仿宋" w:hAnsi="仿宋" w:eastAsia="仿宋"/>
          <w:szCs w:val="28"/>
        </w:rPr>
        <w:t>四、其他</w:t>
      </w:r>
      <w:r>
        <w:tab/>
      </w:r>
      <w:r>
        <w:fldChar w:fldCharType="begin"/>
      </w:r>
      <w:r>
        <w:instrText xml:space="preserve"> PAGEREF _Toc25413 \h </w:instrText>
      </w:r>
      <w:r>
        <w:fldChar w:fldCharType="separate"/>
      </w:r>
      <w:r>
        <w:t>- 38 -</w:t>
      </w:r>
      <w:r>
        <w:fldChar w:fldCharType="end"/>
      </w:r>
      <w:r>
        <w:rPr>
          <w:rFonts w:hint="eastAsia" w:ascii="仿宋" w:hAnsi="仿宋" w:eastAsia="仿宋"/>
          <w:szCs w:val="21"/>
        </w:rPr>
        <w:fldChar w:fldCharType="end"/>
      </w:r>
    </w:p>
    <w:p>
      <w:pPr>
        <w:pStyle w:val="45"/>
        <w:tabs>
          <w:tab w:val="right" w:leader="dot" w:pos="9412"/>
          <w:tab w:val="clear" w:pos="8400"/>
        </w:tabs>
        <w:ind w:right="-255"/>
      </w:pPr>
      <w:r>
        <w:rPr>
          <w:rFonts w:hint="eastAsia" w:ascii="仿宋" w:hAnsi="仿宋" w:eastAsia="仿宋"/>
          <w:szCs w:val="21"/>
        </w:rPr>
        <w:fldChar w:fldCharType="begin"/>
      </w:r>
      <w:r>
        <w:rPr>
          <w:rFonts w:hint="eastAsia" w:ascii="仿宋" w:hAnsi="仿宋" w:eastAsia="仿宋"/>
          <w:szCs w:val="21"/>
        </w:rPr>
        <w:instrText xml:space="preserve"> HYPERLINK \l _Toc13157 </w:instrText>
      </w:r>
      <w:r>
        <w:rPr>
          <w:rFonts w:hint="eastAsia" w:ascii="仿宋" w:hAnsi="仿宋" w:eastAsia="仿宋"/>
          <w:szCs w:val="21"/>
        </w:rPr>
        <w:fldChar w:fldCharType="separate"/>
      </w:r>
      <w:r>
        <w:rPr>
          <w:rFonts w:hint="eastAsia" w:ascii="仿宋" w:hAnsi="仿宋" w:eastAsia="仿宋"/>
          <w:szCs w:val="28"/>
        </w:rPr>
        <w:t>五、资格文件（单独装订）</w:t>
      </w:r>
      <w:r>
        <w:tab/>
      </w:r>
      <w:r>
        <w:fldChar w:fldCharType="begin"/>
      </w:r>
      <w:r>
        <w:instrText xml:space="preserve"> PAGEREF _Toc13157 \h </w:instrText>
      </w:r>
      <w:r>
        <w:fldChar w:fldCharType="separate"/>
      </w:r>
      <w:r>
        <w:t>- 39 -</w:t>
      </w:r>
      <w:r>
        <w:fldChar w:fldCharType="end"/>
      </w:r>
      <w:r>
        <w:rPr>
          <w:rFonts w:hint="eastAsia" w:ascii="仿宋" w:hAnsi="仿宋" w:eastAsia="仿宋"/>
          <w:szCs w:val="21"/>
        </w:rPr>
        <w:fldChar w:fldCharType="end"/>
      </w:r>
    </w:p>
    <w:p>
      <w:pPr>
        <w:pStyle w:val="37"/>
        <w:ind w:firstLine="0" w:firstLineChars="0"/>
        <w:rPr>
          <w:rFonts w:hint="eastAsia" w:ascii="仿宋" w:hAnsi="仿宋" w:eastAsia="仿宋"/>
          <w:sz w:val="32"/>
        </w:rPr>
        <w:sectPr>
          <w:headerReference r:id="rId7" w:type="default"/>
          <w:footerReference r:id="rId8" w:type="default"/>
          <w:pgSz w:w="11907" w:h="16840"/>
          <w:pgMar w:top="1134" w:right="1191" w:bottom="1134" w:left="1304" w:header="964" w:footer="992" w:gutter="0"/>
          <w:pgNumType w:fmt="numberInDash" w:start="1"/>
          <w:cols w:space="720" w:num="1"/>
          <w:docGrid w:linePitch="312" w:charSpace="0"/>
        </w:sectPr>
      </w:pPr>
      <w:r>
        <w:rPr>
          <w:rFonts w:hint="eastAsia" w:ascii="仿宋" w:hAnsi="仿宋" w:eastAsia="仿宋"/>
          <w:szCs w:val="21"/>
        </w:rPr>
        <w:fldChar w:fldCharType="end"/>
      </w:r>
    </w:p>
    <w:p>
      <w:pPr>
        <w:pStyle w:val="3"/>
        <w:spacing w:before="0" w:beforeLines="0" w:after="0" w:afterLines="0" w:line="360" w:lineRule="auto"/>
        <w:rPr>
          <w:rFonts w:hint="eastAsia" w:ascii="仿宋" w:hAnsi="仿宋" w:eastAsia="仿宋"/>
          <w:b/>
        </w:rPr>
      </w:pPr>
      <w:bookmarkStart w:id="0" w:name="_Toc18829"/>
      <w:r>
        <w:rPr>
          <w:rFonts w:ascii="仿宋" w:hAnsi="仿宋" w:eastAsia="仿宋"/>
          <w:b/>
        </w:rPr>
        <w:t>第一篇</w:t>
      </w:r>
      <w:r>
        <w:rPr>
          <w:rFonts w:hint="eastAsia" w:ascii="仿宋" w:hAnsi="仿宋" w:eastAsia="仿宋"/>
          <w:b/>
        </w:rPr>
        <w:t xml:space="preserve"> 投标邀请书</w:t>
      </w:r>
      <w:bookmarkEnd w:id="0"/>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重庆方郡建设工程咨询有限公司受重庆市万州高级技工学校的委托，对重庆市万州高级技工学校超市供应商采购进行采购，欢迎有资格的投标人参加投标。</w:t>
      </w:r>
    </w:p>
    <w:p>
      <w:pPr>
        <w:pStyle w:val="4"/>
        <w:spacing w:line="500" w:lineRule="exact"/>
        <w:ind w:firstLine="482" w:firstLineChars="200"/>
        <w:rPr>
          <w:rFonts w:hint="eastAsia" w:ascii="仿宋" w:hAnsi="仿宋" w:eastAsia="仿宋"/>
          <w:b/>
          <w:sz w:val="24"/>
        </w:rPr>
      </w:pPr>
      <w:bookmarkStart w:id="1" w:name="_Toc314"/>
      <w:r>
        <w:rPr>
          <w:rFonts w:hint="eastAsia" w:ascii="仿宋" w:hAnsi="仿宋" w:eastAsia="仿宋"/>
          <w:b/>
          <w:sz w:val="24"/>
        </w:rPr>
        <w:t>一、招标项目内容</w:t>
      </w:r>
      <w:bookmarkEnd w:id="1"/>
    </w:p>
    <w:p>
      <w:pPr>
        <w:rPr>
          <w:rFonts w:hint="eastAsia" w:ascii="仿宋" w:hAnsi="仿宋" w:eastAsia="仿宋"/>
          <w:b/>
          <w:sz w:val="24"/>
        </w:rPr>
      </w:pPr>
    </w:p>
    <w:tbl>
      <w:tblPr>
        <w:tblStyle w:val="57"/>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409"/>
        <w:gridCol w:w="1418"/>
        <w:gridCol w:w="198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93" w:type="dxa"/>
            <w:tcBorders>
              <w:top w:val="single" w:color="auto" w:sz="4" w:space="0"/>
              <w:left w:val="single" w:color="auto" w:sz="4" w:space="0"/>
              <w:right w:val="single" w:color="auto" w:sz="4" w:space="0"/>
            </w:tcBorders>
            <w:noWrap w:val="0"/>
            <w:vAlign w:val="center"/>
          </w:tcPr>
          <w:p>
            <w:pPr>
              <w:widowControl/>
              <w:spacing w:line="320" w:lineRule="atLeast"/>
              <w:jc w:val="center"/>
              <w:rPr>
                <w:rFonts w:hint="eastAsia"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分包号</w:t>
            </w:r>
          </w:p>
        </w:tc>
        <w:tc>
          <w:tcPr>
            <w:tcW w:w="2409" w:type="dxa"/>
            <w:tcBorders>
              <w:top w:val="single" w:color="auto" w:sz="4" w:space="0"/>
              <w:left w:val="single" w:color="auto" w:sz="4" w:space="0"/>
              <w:right w:val="single" w:color="auto" w:sz="4" w:space="0"/>
            </w:tcBorders>
            <w:noWrap w:val="0"/>
            <w:vAlign w:val="center"/>
          </w:tcPr>
          <w:p>
            <w:pPr>
              <w:widowControl/>
              <w:spacing w:line="320" w:lineRule="atLeast"/>
              <w:jc w:val="center"/>
              <w:rPr>
                <w:rFonts w:hint="eastAsia"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项目名称</w:t>
            </w:r>
          </w:p>
        </w:tc>
        <w:tc>
          <w:tcPr>
            <w:tcW w:w="1418" w:type="dxa"/>
            <w:tcBorders>
              <w:top w:val="single" w:color="auto" w:sz="4" w:space="0"/>
              <w:left w:val="single" w:color="auto" w:sz="4" w:space="0"/>
              <w:right w:val="single" w:color="auto" w:sz="4" w:space="0"/>
            </w:tcBorders>
            <w:noWrap w:val="0"/>
            <w:vAlign w:val="center"/>
          </w:tcPr>
          <w:p>
            <w:pPr>
              <w:widowControl/>
              <w:spacing w:line="320" w:lineRule="atLeast"/>
              <w:rPr>
                <w:rFonts w:hint="eastAsia"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保证金（万元）</w:t>
            </w:r>
          </w:p>
        </w:tc>
        <w:tc>
          <w:tcPr>
            <w:tcW w:w="1984" w:type="dxa"/>
            <w:tcBorders>
              <w:top w:val="single" w:color="auto" w:sz="4" w:space="0"/>
              <w:left w:val="single" w:color="auto" w:sz="4" w:space="0"/>
              <w:right w:val="single" w:color="auto" w:sz="4" w:space="0"/>
            </w:tcBorders>
            <w:noWrap w:val="0"/>
            <w:vAlign w:val="center"/>
          </w:tcPr>
          <w:p>
            <w:pPr>
              <w:spacing w:line="320" w:lineRule="atLeast"/>
              <w:jc w:val="center"/>
              <w:rPr>
                <w:rFonts w:hint="eastAsia" w:ascii="方正仿宋_GBK" w:hAnsi="宋体" w:eastAsia="方正仿宋_GBK"/>
                <w:sz w:val="24"/>
                <w:szCs w:val="24"/>
              </w:rPr>
            </w:pPr>
            <w:r>
              <w:rPr>
                <w:rFonts w:hint="eastAsia" w:ascii="方正仿宋_GBK" w:hAnsi="宋体" w:eastAsia="方正仿宋_GBK" w:cs="宋体"/>
                <w:b/>
                <w:bCs/>
                <w:kern w:val="0"/>
                <w:sz w:val="24"/>
                <w:szCs w:val="24"/>
              </w:rPr>
              <w:t>备注</w:t>
            </w:r>
          </w:p>
        </w:tc>
        <w:tc>
          <w:tcPr>
            <w:tcW w:w="2635" w:type="dxa"/>
            <w:tcBorders>
              <w:top w:val="single" w:color="auto" w:sz="4" w:space="0"/>
              <w:left w:val="single" w:color="auto" w:sz="4" w:space="0"/>
              <w:right w:val="single" w:color="auto" w:sz="4" w:space="0"/>
            </w:tcBorders>
            <w:noWrap w:val="0"/>
            <w:vAlign w:val="center"/>
          </w:tcPr>
          <w:p>
            <w:pPr>
              <w:spacing w:line="240" w:lineRule="atLeast"/>
              <w:jc w:val="center"/>
              <w:rPr>
                <w:rFonts w:hint="eastAsia" w:ascii="方正仿宋_GBK" w:hAnsi="宋体" w:eastAsia="方正仿宋_GBK" w:cs="宋体"/>
                <w:b/>
                <w:bCs/>
                <w:kern w:val="0"/>
                <w:sz w:val="24"/>
                <w:szCs w:val="24"/>
              </w:rPr>
            </w:pPr>
            <w:r>
              <w:rPr>
                <w:rFonts w:hint="eastAsia" w:ascii="方正仿宋_GBK" w:hAnsi="宋体" w:eastAsia="方正仿宋_GBK"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方正仿宋_GBK" w:hAnsi="宋体" w:eastAsia="方正仿宋_GBK"/>
                <w:b/>
                <w:sz w:val="24"/>
                <w:szCs w:val="24"/>
              </w:rPr>
            </w:pPr>
            <w:bookmarkStart w:id="2" w:name="_Hlk344477914"/>
            <w:r>
              <w:rPr>
                <w:rFonts w:hint="eastAsia" w:ascii="仿宋" w:hAnsi="仿宋" w:eastAsia="仿宋"/>
                <w:sz w:val="24"/>
                <w:szCs w:val="24"/>
              </w:rPr>
              <w:t>不分包</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方正仿宋_GBK" w:hAnsi="宋体" w:eastAsia="方正仿宋_GBK" w:cs="宋体"/>
                <w:b/>
                <w:kern w:val="0"/>
                <w:sz w:val="24"/>
                <w:szCs w:val="24"/>
              </w:rPr>
            </w:pPr>
            <w:r>
              <w:rPr>
                <w:rFonts w:hint="eastAsia" w:ascii="仿宋" w:hAnsi="仿宋" w:eastAsia="仿宋"/>
                <w:sz w:val="24"/>
                <w:szCs w:val="24"/>
              </w:rPr>
              <w:t>重庆市万州高级技工学校超市供应商采购</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 w:hAnsi="仿宋" w:eastAsia="仿宋"/>
                <w:sz w:val="24"/>
                <w:szCs w:val="24"/>
                <w:lang w:val="en-US" w:eastAsia="zh-CN"/>
              </w:rPr>
            </w:pPr>
            <w:r>
              <w:rPr>
                <w:rFonts w:hint="eastAsia" w:ascii="仿宋" w:hAnsi="仿宋" w:eastAsia="仿宋"/>
                <w:sz w:val="24"/>
                <w:szCs w:val="24"/>
              </w:rPr>
              <w:t>1.</w:t>
            </w:r>
            <w:r>
              <w:rPr>
                <w:rFonts w:hint="eastAsia" w:ascii="仿宋" w:hAnsi="仿宋" w:eastAsia="仿宋"/>
                <w:sz w:val="24"/>
                <w:szCs w:val="24"/>
                <w:lang w:val="en-US" w:eastAsia="zh-CN"/>
              </w:rPr>
              <w:t>3</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 w:hAnsi="仿宋" w:eastAsia="仿宋"/>
                <w:sz w:val="24"/>
                <w:szCs w:val="24"/>
              </w:rPr>
            </w:pPr>
            <w:r>
              <w:rPr>
                <w:rFonts w:hint="eastAsia" w:ascii="仿宋" w:hAnsi="仿宋" w:eastAsia="仿宋"/>
                <w:sz w:val="24"/>
                <w:szCs w:val="24"/>
              </w:rPr>
              <w:t>服务期1年</w:t>
            </w:r>
          </w:p>
        </w:tc>
        <w:tc>
          <w:tcPr>
            <w:tcW w:w="26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atLeast"/>
              <w:jc w:val="center"/>
              <w:rPr>
                <w:rFonts w:hint="eastAsia" w:ascii="仿宋" w:hAnsi="仿宋" w:eastAsia="仿宋"/>
                <w:sz w:val="24"/>
                <w:szCs w:val="24"/>
              </w:rPr>
            </w:pPr>
            <w:r>
              <w:rPr>
                <w:rFonts w:hint="eastAsia" w:ascii="仿宋" w:hAnsi="仿宋" w:eastAsia="仿宋"/>
                <w:sz w:val="24"/>
                <w:szCs w:val="24"/>
              </w:rPr>
              <w:t>本项目不接受联合体投标</w:t>
            </w:r>
          </w:p>
        </w:tc>
      </w:tr>
      <w:bookmarkEnd w:id="2"/>
    </w:tbl>
    <w:p>
      <w:pPr>
        <w:rPr>
          <w:rFonts w:hint="eastAsia" w:ascii="仿宋" w:hAnsi="仿宋" w:eastAsia="仿宋"/>
          <w:b/>
          <w:sz w:val="24"/>
        </w:rPr>
      </w:pPr>
    </w:p>
    <w:p>
      <w:pPr>
        <w:pStyle w:val="4"/>
        <w:spacing w:line="500" w:lineRule="exact"/>
        <w:ind w:firstLine="482" w:firstLineChars="200"/>
        <w:rPr>
          <w:rFonts w:hint="eastAsia" w:ascii="仿宋" w:hAnsi="仿宋" w:eastAsia="仿宋"/>
          <w:b/>
          <w:sz w:val="24"/>
        </w:rPr>
      </w:pPr>
      <w:bookmarkStart w:id="3" w:name="_Toc6374"/>
      <w:r>
        <w:rPr>
          <w:rFonts w:hint="eastAsia" w:ascii="仿宋" w:hAnsi="仿宋" w:eastAsia="仿宋"/>
          <w:b/>
          <w:sz w:val="24"/>
        </w:rPr>
        <w:t>二、资金来源</w:t>
      </w:r>
      <w:bookmarkEnd w:id="3"/>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超市代卖资金。</w:t>
      </w:r>
    </w:p>
    <w:p>
      <w:pPr>
        <w:pStyle w:val="4"/>
        <w:spacing w:line="500" w:lineRule="exact"/>
        <w:ind w:firstLine="482" w:firstLineChars="200"/>
        <w:rPr>
          <w:rFonts w:hint="eastAsia" w:ascii="仿宋" w:hAnsi="仿宋" w:eastAsia="仿宋"/>
          <w:b/>
          <w:sz w:val="24"/>
        </w:rPr>
      </w:pPr>
      <w:bookmarkStart w:id="4" w:name="_Toc25397"/>
      <w:r>
        <w:rPr>
          <w:rFonts w:hint="eastAsia" w:ascii="仿宋" w:hAnsi="仿宋" w:eastAsia="仿宋"/>
          <w:b/>
          <w:sz w:val="24"/>
        </w:rPr>
        <w:t>三、投标人资格要求</w:t>
      </w:r>
      <w:bookmarkEnd w:id="4"/>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合格投标人应首先符合政府采购法第二十二条规定的基本条件，同时符合根据该项目特点设置的特定资格条件。</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（一）基本资格条件</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1.具有独立承担民事责任的能力；</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2.具有良好的商业信誉和健全的财务会计制度；</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3.具有履行合同所必需的设备和专业技术能力；</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4.有依法缴纳税收和社会保障资金的良好记录；</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5.参加政府采购活动前三年内，在经营活动中没有重大违法记录；</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6.法律、行政法规规定的其他条件。</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（二）特定资格条件</w:t>
      </w:r>
    </w:p>
    <w:p>
      <w:pPr>
        <w:snapToGrid w:val="0"/>
        <w:spacing w:line="400" w:lineRule="exact"/>
        <w:ind w:firstLine="480" w:firstLineChars="200"/>
        <w:rPr>
          <w:rFonts w:hint="eastAsia" w:ascii="仿宋" w:hAnsi="仿宋" w:eastAsia="仿宋"/>
          <w:sz w:val="24"/>
          <w:szCs w:val="24"/>
        </w:rPr>
      </w:pPr>
      <w:bookmarkStart w:id="5" w:name="_Toc272656014"/>
      <w:bookmarkStart w:id="6" w:name="_Toc373329415"/>
      <w:bookmarkStart w:id="7" w:name="_Toc290293587"/>
      <w:r>
        <w:rPr>
          <w:rFonts w:hint="eastAsia" w:ascii="仿宋" w:hAnsi="仿宋" w:eastAsia="仿宋"/>
          <w:sz w:val="24"/>
          <w:szCs w:val="24"/>
        </w:rPr>
        <w:t>1、</w:t>
      </w:r>
      <w:bookmarkEnd w:id="5"/>
      <w:bookmarkEnd w:id="6"/>
      <w:bookmarkEnd w:id="7"/>
      <w:r>
        <w:rPr>
          <w:rFonts w:hint="eastAsia" w:ascii="仿宋" w:hAnsi="仿宋" w:eastAsia="仿宋"/>
          <w:sz w:val="24"/>
          <w:szCs w:val="24"/>
        </w:rPr>
        <w:t>参照各分类项目中的资格要求。</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注：本次招标不接受联合体投标，不允许分包和转包。以上特定资格条件资料复印件装入响应文件中,原件资料另行装袋并标明供应商名称，与响应文件一同递交供评委查验，评审结束后退还原件资料。</w:t>
      </w:r>
    </w:p>
    <w:p>
      <w:pPr>
        <w:pStyle w:val="4"/>
        <w:spacing w:line="500" w:lineRule="exact"/>
        <w:ind w:firstLine="482" w:firstLineChars="200"/>
        <w:rPr>
          <w:rFonts w:hint="eastAsia" w:ascii="仿宋" w:hAnsi="仿宋" w:eastAsia="仿宋"/>
          <w:b/>
          <w:sz w:val="24"/>
        </w:rPr>
      </w:pPr>
      <w:bookmarkStart w:id="8" w:name="_Toc10243"/>
      <w:r>
        <w:rPr>
          <w:rFonts w:hint="eastAsia" w:ascii="仿宋" w:hAnsi="仿宋" w:eastAsia="仿宋"/>
          <w:b/>
          <w:sz w:val="24"/>
        </w:rPr>
        <w:t>四、投标、开标有关说明</w:t>
      </w:r>
      <w:bookmarkEnd w:id="8"/>
    </w:p>
    <w:p>
      <w:pPr>
        <w:snapToGrid w:val="0"/>
        <w:spacing w:line="400" w:lineRule="exact"/>
        <w:ind w:firstLine="480" w:firstLineChars="200"/>
        <w:rPr>
          <w:rFonts w:hint="eastAsia" w:ascii="仿宋" w:hAnsi="仿宋" w:eastAsia="仿宋"/>
          <w:sz w:val="24"/>
          <w:szCs w:val="24"/>
        </w:rPr>
      </w:pPr>
      <w:bookmarkStart w:id="9" w:name="_Toc13290"/>
      <w:bookmarkStart w:id="10" w:name="_Toc10075"/>
      <w:r>
        <w:rPr>
          <w:rFonts w:hint="eastAsia" w:ascii="仿宋" w:hAnsi="仿宋" w:eastAsia="仿宋"/>
          <w:sz w:val="24"/>
          <w:szCs w:val="24"/>
        </w:rPr>
        <w:t>1、获取招标文件方式：即招标文件及其相关信息在重庆市万州高级技工学校官网 “通知公告”栏目公示，供应商自行下载。</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2、响应文件（即投标文件）递交地点：重庆方郡建设工程咨询有限公司会议室（重庆市万州区安宁路66号）。</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 xml:space="preserve">3、凡有意参加投标者，请于公告发布之日起即2021年 </w:t>
      </w:r>
      <w:r>
        <w:rPr>
          <w:rFonts w:hint="eastAsia" w:ascii="仿宋" w:hAnsi="仿宋" w:eastAsia="仿宋"/>
          <w:sz w:val="24"/>
          <w:szCs w:val="24"/>
          <w:lang w:val="en-US" w:eastAsia="zh-CN"/>
        </w:rPr>
        <w:t>10</w:t>
      </w:r>
      <w:r>
        <w:rPr>
          <w:rFonts w:hint="eastAsia" w:ascii="仿宋" w:hAnsi="仿宋" w:eastAsia="仿宋"/>
          <w:sz w:val="24"/>
          <w:szCs w:val="24"/>
        </w:rPr>
        <w:t xml:space="preserve"> 月 </w:t>
      </w:r>
      <w:r>
        <w:rPr>
          <w:rFonts w:hint="eastAsia" w:ascii="仿宋" w:hAnsi="仿宋" w:eastAsia="仿宋"/>
          <w:sz w:val="24"/>
          <w:szCs w:val="24"/>
          <w:lang w:val="en-US" w:eastAsia="zh-CN"/>
        </w:rPr>
        <w:t>12</w:t>
      </w:r>
      <w:r>
        <w:rPr>
          <w:rFonts w:hint="eastAsia" w:ascii="仿宋" w:hAnsi="仿宋" w:eastAsia="仿宋"/>
          <w:sz w:val="24"/>
          <w:szCs w:val="24"/>
        </w:rPr>
        <w:t xml:space="preserve">日至 2021年 </w:t>
      </w:r>
      <w:r>
        <w:rPr>
          <w:rFonts w:hint="eastAsia" w:ascii="仿宋" w:hAnsi="仿宋" w:eastAsia="仿宋"/>
          <w:sz w:val="24"/>
          <w:szCs w:val="24"/>
          <w:lang w:val="en-US" w:eastAsia="zh-CN"/>
        </w:rPr>
        <w:t>10</w:t>
      </w:r>
      <w:r>
        <w:rPr>
          <w:rFonts w:hint="eastAsia" w:ascii="仿宋" w:hAnsi="仿宋" w:eastAsia="仿宋"/>
          <w:sz w:val="24"/>
          <w:szCs w:val="24"/>
        </w:rPr>
        <w:t xml:space="preserve">月 </w:t>
      </w:r>
      <w:r>
        <w:rPr>
          <w:rFonts w:hint="eastAsia" w:ascii="仿宋" w:hAnsi="仿宋" w:eastAsia="仿宋"/>
          <w:sz w:val="24"/>
          <w:szCs w:val="24"/>
          <w:lang w:val="en-US" w:eastAsia="zh-CN"/>
        </w:rPr>
        <w:t>15</w:t>
      </w:r>
      <w:r>
        <w:rPr>
          <w:rFonts w:hint="eastAsia" w:ascii="仿宋" w:hAnsi="仿宋" w:eastAsia="仿宋"/>
          <w:sz w:val="24"/>
          <w:szCs w:val="24"/>
        </w:rPr>
        <w:t>日下午17：00时前到重庆方郡建设工程咨询有限公司进行报名。报名时需携带法人身份证明及授权委托书、委托代理人身份证、营业执照复印件。招标文件、答疑等开标前的有关资料及相关事宜在重庆市万州高级技工学校官网下载。报名则视为供应商全部知晓有关招标过程和事宜。在投标截止日前，各供应商应随时关注网上发布的招标补疑通知。</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 xml:space="preserve">4、报名供应商递交响应文件截止及开标时间：2021年 </w:t>
      </w:r>
      <w:r>
        <w:rPr>
          <w:rFonts w:hint="eastAsia" w:ascii="仿宋" w:hAnsi="仿宋" w:eastAsia="仿宋"/>
          <w:sz w:val="24"/>
          <w:szCs w:val="24"/>
          <w:lang w:val="en-US" w:eastAsia="zh-CN"/>
        </w:rPr>
        <w:t>10</w:t>
      </w:r>
      <w:r>
        <w:rPr>
          <w:rFonts w:hint="eastAsia" w:ascii="仿宋" w:hAnsi="仿宋" w:eastAsia="仿宋"/>
          <w:sz w:val="24"/>
          <w:szCs w:val="24"/>
        </w:rPr>
        <w:t xml:space="preserve"> 月 </w:t>
      </w:r>
      <w:r>
        <w:rPr>
          <w:rFonts w:hint="eastAsia" w:ascii="仿宋" w:hAnsi="仿宋" w:eastAsia="仿宋"/>
          <w:sz w:val="24"/>
          <w:szCs w:val="24"/>
          <w:lang w:val="en-US" w:eastAsia="zh-CN"/>
        </w:rPr>
        <w:t>15</w:t>
      </w:r>
      <w:r>
        <w:rPr>
          <w:rFonts w:hint="eastAsia" w:ascii="仿宋" w:hAnsi="仿宋" w:eastAsia="仿宋"/>
          <w:sz w:val="24"/>
          <w:szCs w:val="24"/>
        </w:rPr>
        <w:t xml:space="preserve"> 日北京时间9:30时。</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5、投标报名费用：（1）本次投标供应商在报名时缴纳500.00元（人民币）的投标费用，未缴纳或未足额缴纳的不予报名，且无论中标与否都不退还。</w:t>
      </w:r>
    </w:p>
    <w:p>
      <w:pPr>
        <w:spacing w:line="360" w:lineRule="exact"/>
        <w:ind w:firstLine="482" w:firstLineChars="200"/>
        <w:rPr>
          <w:rFonts w:hint="eastAsia" w:ascii="仿宋" w:hAnsi="仿宋" w:eastAsia="仿宋"/>
          <w:b/>
          <w:sz w:val="24"/>
        </w:rPr>
      </w:pPr>
      <w:r>
        <w:rPr>
          <w:rFonts w:hint="eastAsia" w:ascii="仿宋" w:hAnsi="仿宋" w:eastAsia="仿宋"/>
          <w:b/>
          <w:sz w:val="24"/>
        </w:rPr>
        <w:t>五、保证金</w:t>
      </w:r>
      <w:bookmarkEnd w:id="9"/>
    </w:p>
    <w:bookmarkEnd w:id="10"/>
    <w:p>
      <w:pPr>
        <w:snapToGrid w:val="0"/>
        <w:spacing w:line="400" w:lineRule="exact"/>
        <w:ind w:firstLine="480" w:firstLineChars="200"/>
        <w:rPr>
          <w:rFonts w:hint="eastAsia" w:ascii="仿宋" w:hAnsi="仿宋" w:eastAsia="仿宋"/>
          <w:sz w:val="24"/>
          <w:szCs w:val="24"/>
        </w:rPr>
      </w:pPr>
      <w:bookmarkStart w:id="11" w:name="_Toc21817"/>
      <w:r>
        <w:rPr>
          <w:rFonts w:hint="eastAsia" w:ascii="仿宋" w:hAnsi="仿宋" w:eastAsia="仿宋"/>
          <w:sz w:val="24"/>
          <w:szCs w:val="24"/>
        </w:rPr>
        <w:t>1、金额：人民币1</w:t>
      </w:r>
      <w:r>
        <w:rPr>
          <w:rFonts w:hint="eastAsia" w:ascii="仿宋" w:hAnsi="仿宋" w:eastAsia="仿宋"/>
          <w:sz w:val="24"/>
          <w:szCs w:val="24"/>
          <w:lang w:val="en-US" w:eastAsia="zh-CN"/>
        </w:rPr>
        <w:t>3</w:t>
      </w:r>
      <w:r>
        <w:rPr>
          <w:rFonts w:hint="eastAsia" w:ascii="仿宋" w:hAnsi="仿宋" w:eastAsia="仿宋"/>
          <w:sz w:val="24"/>
          <w:szCs w:val="24"/>
        </w:rPr>
        <w:t>000元整（其中10000为履约保证金、</w:t>
      </w:r>
      <w:r>
        <w:rPr>
          <w:rFonts w:hint="eastAsia" w:ascii="仿宋" w:hAnsi="仿宋" w:eastAsia="仿宋"/>
          <w:sz w:val="24"/>
          <w:szCs w:val="24"/>
          <w:lang w:val="en-US" w:eastAsia="zh-CN"/>
        </w:rPr>
        <w:t>3</w:t>
      </w:r>
      <w:r>
        <w:rPr>
          <w:rFonts w:hint="eastAsia" w:ascii="仿宋" w:hAnsi="仿宋" w:eastAsia="仿宋"/>
          <w:sz w:val="24"/>
          <w:szCs w:val="24"/>
        </w:rPr>
        <w:t>000为代理服务费）。</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2、交纳方式：在递交响应文件的同时以现金方式交纳给采购代理机构。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3、退还方式：未成交供应商评审结束后当场退还保证金，成交供应商应将保证金转为履约保证金和代理服务费，签订合同后履约保证金合同期满后退回。</w:t>
      </w:r>
    </w:p>
    <w:p>
      <w:pPr>
        <w:pStyle w:val="4"/>
        <w:spacing w:line="500" w:lineRule="exact"/>
        <w:ind w:firstLine="482" w:firstLineChars="200"/>
        <w:rPr>
          <w:rFonts w:hint="eastAsia" w:ascii="仿宋" w:hAnsi="仿宋" w:eastAsia="仿宋"/>
          <w:b/>
          <w:sz w:val="24"/>
          <w:lang w:val="en-US" w:eastAsia="zh-CN"/>
        </w:rPr>
      </w:pPr>
      <w:r>
        <w:rPr>
          <w:rFonts w:hint="eastAsia" w:ascii="仿宋" w:hAnsi="仿宋" w:eastAsia="仿宋"/>
          <w:b/>
          <w:sz w:val="24"/>
          <w:lang w:val="en-US" w:eastAsia="zh-CN"/>
        </w:rPr>
        <w:t>六</w:t>
      </w:r>
      <w:r>
        <w:rPr>
          <w:rFonts w:hint="eastAsia" w:ascii="仿宋" w:hAnsi="仿宋" w:eastAsia="仿宋"/>
          <w:b/>
          <w:sz w:val="24"/>
        </w:rPr>
        <w:t>、投标有关规定</w:t>
      </w:r>
      <w:bookmarkEnd w:id="11"/>
      <w:r>
        <w:rPr>
          <w:rFonts w:hint="eastAsia" w:ascii="仿宋" w:hAnsi="仿宋" w:eastAsia="仿宋"/>
          <w:b/>
          <w:sz w:val="24"/>
          <w:lang w:val="en-US" w:eastAsia="zh-CN"/>
        </w:rPr>
        <w:t xml:space="preserve"> </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（一）</w:t>
      </w:r>
      <w:r>
        <w:rPr>
          <w:rFonts w:ascii="仿宋" w:hAnsi="仿宋" w:eastAsia="仿宋"/>
          <w:sz w:val="24"/>
          <w:szCs w:val="24"/>
        </w:rPr>
        <w:t>单位负责人为同一人或者存在直接控股、管理关系的不同投标人，不得参加同一合同项</w:t>
      </w:r>
      <w:r>
        <w:rPr>
          <w:rFonts w:hint="eastAsia" w:ascii="仿宋" w:hAnsi="仿宋" w:eastAsia="仿宋"/>
          <w:sz w:val="24"/>
          <w:szCs w:val="24"/>
        </w:rPr>
        <w:t>（分包）</w:t>
      </w:r>
      <w:r>
        <w:rPr>
          <w:rFonts w:ascii="仿宋" w:hAnsi="仿宋" w:eastAsia="仿宋"/>
          <w:sz w:val="24"/>
          <w:szCs w:val="24"/>
        </w:rPr>
        <w:t>下的政府采购活动。</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（二）</w:t>
      </w:r>
      <w:r>
        <w:rPr>
          <w:rFonts w:ascii="仿宋" w:hAnsi="仿宋" w:eastAsia="仿宋"/>
          <w:sz w:val="24"/>
          <w:szCs w:val="24"/>
        </w:rPr>
        <w:t>为采购项目提供整体设计、规范编制或者项目管理、监理、检测等服务的投标人，不得再参加</w:t>
      </w:r>
      <w:r>
        <w:rPr>
          <w:rFonts w:hint="eastAsia" w:ascii="仿宋" w:hAnsi="仿宋" w:eastAsia="仿宋"/>
          <w:sz w:val="24"/>
          <w:szCs w:val="24"/>
        </w:rPr>
        <w:t>该采购</w:t>
      </w:r>
      <w:r>
        <w:rPr>
          <w:rFonts w:ascii="仿宋" w:hAnsi="仿宋" w:eastAsia="仿宋"/>
          <w:sz w:val="24"/>
          <w:szCs w:val="24"/>
        </w:rPr>
        <w:t>项目的</w:t>
      </w:r>
      <w:r>
        <w:rPr>
          <w:rFonts w:hint="eastAsia" w:ascii="仿宋" w:hAnsi="仿宋" w:eastAsia="仿宋"/>
          <w:sz w:val="24"/>
          <w:szCs w:val="24"/>
        </w:rPr>
        <w:t>其他</w:t>
      </w:r>
      <w:r>
        <w:rPr>
          <w:rFonts w:ascii="仿宋" w:hAnsi="仿宋" w:eastAsia="仿宋"/>
          <w:sz w:val="24"/>
          <w:szCs w:val="24"/>
        </w:rPr>
        <w:t>采购活动。</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（三）本项目若有补遗文件一律在重庆市万州高级技工学校官网上发布，请各投标人注意下载；无论投标人下载与否，均视同投标人已知晓本项目补遗文件的内容。</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（四）超过投标截止时间递交的投标文件，恕不接收。</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（五）投标费用：无论投标结果如何，投标人参与本项目投标的所有费用均应由投标人自行承担。</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（六）本项目不接受联合体参与投标。</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（七）</w:t>
      </w:r>
      <w:bookmarkStart w:id="12" w:name="OLE_LINK2"/>
      <w:bookmarkStart w:id="13" w:name="OLE_LINK1"/>
      <w:r>
        <w:rPr>
          <w:rFonts w:hint="eastAsia" w:ascii="仿宋" w:hAnsi="仿宋" w:eastAsia="仿宋"/>
          <w:sz w:val="24"/>
          <w:szCs w:val="24"/>
        </w:rPr>
        <w:t>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w:t>
      </w:r>
      <w:bookmarkEnd w:id="12"/>
      <w:bookmarkEnd w:id="13"/>
      <w:r>
        <w:rPr>
          <w:rFonts w:hint="eastAsia" w:ascii="仿宋" w:hAnsi="仿宋" w:eastAsia="仿宋"/>
          <w:sz w:val="24"/>
          <w:szCs w:val="24"/>
        </w:rPr>
        <w:t>投标人，将拒绝其参与政府采购活动。</w:t>
      </w:r>
    </w:p>
    <w:p>
      <w:pPr>
        <w:pStyle w:val="4"/>
        <w:spacing w:line="500" w:lineRule="exact"/>
        <w:ind w:firstLine="482" w:firstLineChars="200"/>
        <w:rPr>
          <w:rFonts w:hint="eastAsia" w:ascii="仿宋" w:hAnsi="仿宋" w:eastAsia="仿宋"/>
          <w:b/>
          <w:sz w:val="24"/>
          <w:lang w:val="en-US" w:eastAsia="zh-CN"/>
        </w:rPr>
      </w:pPr>
      <w:bookmarkStart w:id="14" w:name="_Toc18526"/>
      <w:r>
        <w:rPr>
          <w:rFonts w:hint="eastAsia" w:ascii="仿宋" w:hAnsi="仿宋" w:eastAsia="仿宋"/>
          <w:b/>
          <w:sz w:val="24"/>
          <w:lang w:val="en-US" w:eastAsia="zh-CN"/>
        </w:rPr>
        <w:t>七、联系方式</w:t>
      </w:r>
      <w:bookmarkEnd w:id="14"/>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采购人：重庆市万州高级技工学校</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联系人：赵老师</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电话：18723779871</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地址：重庆市万州区永佳路318号</w:t>
      </w:r>
    </w:p>
    <w:p>
      <w:pPr>
        <w:spacing w:line="360" w:lineRule="exact"/>
        <w:ind w:firstLine="480" w:firstLineChars="200"/>
        <w:rPr>
          <w:rFonts w:hint="eastAsia" w:ascii="仿宋" w:hAnsi="仿宋" w:eastAsia="仿宋"/>
          <w:sz w:val="24"/>
          <w:szCs w:val="24"/>
        </w:rPr>
      </w:pP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采购代理机构：重庆方郡建设工程咨询有限公司</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联系人：张老师</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电  话：18423203111</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地  址：重庆市万州区安宁路66号</w:t>
      </w:r>
    </w:p>
    <w:p>
      <w:pPr>
        <w:pStyle w:val="3"/>
        <w:spacing w:before="0" w:beforeLines="0" w:after="0" w:afterLines="0" w:line="360" w:lineRule="auto"/>
        <w:rPr>
          <w:rFonts w:hint="eastAsia" w:ascii="仿宋" w:hAnsi="仿宋" w:eastAsia="仿宋"/>
          <w:b/>
        </w:rPr>
      </w:pPr>
      <w:r>
        <w:rPr>
          <w:rFonts w:ascii="仿宋" w:hAnsi="仿宋" w:eastAsia="仿宋"/>
        </w:rPr>
        <w:br w:type="page"/>
      </w:r>
      <w:bookmarkStart w:id="15" w:name="_Toc14176"/>
      <w:r>
        <w:rPr>
          <w:rFonts w:hint="eastAsia" w:ascii="仿宋" w:hAnsi="仿宋" w:eastAsia="仿宋"/>
          <w:b/>
        </w:rPr>
        <w:t>第二篇 项目技术规格、数量及质量要求</w:t>
      </w:r>
      <w:bookmarkEnd w:id="15"/>
    </w:p>
    <w:p>
      <w:pPr>
        <w:snapToGrid w:val="0"/>
        <w:spacing w:line="400" w:lineRule="exact"/>
        <w:rPr>
          <w:rFonts w:hint="eastAsia" w:ascii="仿宋" w:hAnsi="仿宋" w:eastAsia="仿宋"/>
          <w:b/>
          <w:sz w:val="24"/>
          <w:szCs w:val="24"/>
        </w:rPr>
      </w:pPr>
    </w:p>
    <w:p>
      <w:pPr>
        <w:jc w:val="center"/>
      </w:pPr>
      <w:r>
        <w:rPr>
          <w:rFonts w:hint="eastAsia" w:hAnsi="宋体" w:cs="宋体"/>
          <w:b/>
          <w:sz w:val="30"/>
          <w:szCs w:val="30"/>
        </w:rPr>
        <w:t>本项目采购</w:t>
      </w:r>
      <w:r>
        <w:rPr>
          <w:rFonts w:hint="eastAsia"/>
          <w:b/>
          <w:sz w:val="30"/>
          <w:szCs w:val="30"/>
        </w:rPr>
        <w:t>参数及具体要求</w:t>
      </w:r>
    </w:p>
    <w:p>
      <w:pPr>
        <w:spacing w:line="360" w:lineRule="exact"/>
        <w:rPr>
          <w:rFonts w:hint="eastAsia" w:ascii="Calibri" w:hAnsi="Calibri" w:eastAsia="方正仿宋_GBK"/>
          <w:sz w:val="24"/>
          <w:szCs w:val="24"/>
        </w:rPr>
      </w:pPr>
    </w:p>
    <w:tbl>
      <w:tblPr>
        <w:tblStyle w:val="57"/>
        <w:tblW w:w="9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107"/>
        <w:gridCol w:w="4002"/>
        <w:gridCol w:w="2018"/>
        <w:gridCol w:w="847"/>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jc w:val="center"/>
              <w:rPr>
                <w:rFonts w:hint="eastAsia"/>
                <w:b/>
              </w:rPr>
            </w:pPr>
            <w:r>
              <w:rPr>
                <w:rFonts w:hint="eastAsia"/>
                <w:b/>
              </w:rPr>
              <w:t>大类</w:t>
            </w:r>
          </w:p>
        </w:tc>
        <w:tc>
          <w:tcPr>
            <w:tcW w:w="1107" w:type="dxa"/>
            <w:noWrap w:val="0"/>
            <w:vAlign w:val="center"/>
          </w:tcPr>
          <w:p>
            <w:pPr>
              <w:jc w:val="center"/>
              <w:rPr>
                <w:rFonts w:hint="eastAsia"/>
                <w:b/>
              </w:rPr>
            </w:pPr>
            <w:r>
              <w:rPr>
                <w:rFonts w:hint="eastAsia"/>
                <w:b/>
              </w:rPr>
              <w:t>类 别</w:t>
            </w:r>
          </w:p>
        </w:tc>
        <w:tc>
          <w:tcPr>
            <w:tcW w:w="4002" w:type="dxa"/>
            <w:noWrap w:val="0"/>
            <w:vAlign w:val="center"/>
          </w:tcPr>
          <w:p>
            <w:pPr>
              <w:jc w:val="center"/>
              <w:rPr>
                <w:rFonts w:hint="eastAsia"/>
                <w:b/>
              </w:rPr>
            </w:pPr>
            <w:r>
              <w:rPr>
                <w:rFonts w:hint="eastAsia"/>
                <w:b/>
              </w:rPr>
              <w:t>特定资格要求</w:t>
            </w:r>
          </w:p>
        </w:tc>
        <w:tc>
          <w:tcPr>
            <w:tcW w:w="2018" w:type="dxa"/>
            <w:noWrap w:val="0"/>
            <w:vAlign w:val="center"/>
          </w:tcPr>
          <w:p>
            <w:pPr>
              <w:jc w:val="center"/>
              <w:rPr>
                <w:rFonts w:hint="eastAsia"/>
                <w:b/>
              </w:rPr>
            </w:pPr>
            <w:r>
              <w:rPr>
                <w:rFonts w:hint="eastAsia"/>
                <w:b/>
              </w:rPr>
              <w:t>考核标准</w:t>
            </w:r>
          </w:p>
        </w:tc>
        <w:tc>
          <w:tcPr>
            <w:tcW w:w="847" w:type="dxa"/>
            <w:noWrap w:val="0"/>
            <w:vAlign w:val="center"/>
          </w:tcPr>
          <w:p>
            <w:pPr>
              <w:jc w:val="center"/>
              <w:rPr>
                <w:rFonts w:hint="eastAsia"/>
                <w:b/>
              </w:rPr>
            </w:pPr>
            <w:r>
              <w:rPr>
                <w:rFonts w:hint="eastAsia"/>
                <w:b/>
              </w:rPr>
              <w:t>中标名额</w:t>
            </w:r>
          </w:p>
        </w:tc>
        <w:tc>
          <w:tcPr>
            <w:tcW w:w="1160" w:type="dxa"/>
            <w:noWrap w:val="0"/>
            <w:vAlign w:val="center"/>
          </w:tcPr>
          <w:p>
            <w:pPr>
              <w:jc w:val="center"/>
              <w:rPr>
                <w:rFonts w:hint="eastAsia"/>
                <w:b/>
              </w:rPr>
            </w:pPr>
            <w:r>
              <w:rPr>
                <w:rFonts w:hint="eastAsia"/>
                <w:b/>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48" w:type="dxa"/>
            <w:noWrap w:val="0"/>
            <w:vAlign w:val="center"/>
          </w:tcPr>
          <w:p>
            <w:pPr>
              <w:jc w:val="center"/>
            </w:pPr>
            <w:r>
              <w:rPr>
                <w:rFonts w:hint="eastAsia"/>
              </w:rPr>
              <w:t>副食</w:t>
            </w:r>
          </w:p>
        </w:tc>
        <w:tc>
          <w:tcPr>
            <w:tcW w:w="1107" w:type="dxa"/>
            <w:noWrap w:val="0"/>
            <w:vAlign w:val="center"/>
          </w:tcPr>
          <w:p>
            <w:pPr>
              <w:jc w:val="center"/>
              <w:rPr>
                <w:rFonts w:ascii="宋体" w:hAnsi="宋体"/>
                <w:sz w:val="20"/>
              </w:rPr>
            </w:pPr>
            <w:r>
              <w:rPr>
                <w:rFonts w:hint="eastAsia" w:ascii="宋体" w:hAnsi="宋体"/>
                <w:sz w:val="20"/>
              </w:rPr>
              <w:t>一线品牌</w:t>
            </w:r>
          </w:p>
        </w:tc>
        <w:tc>
          <w:tcPr>
            <w:tcW w:w="4002" w:type="dxa"/>
            <w:noWrap w:val="0"/>
            <w:vAlign w:val="center"/>
          </w:tcPr>
          <w:p>
            <w:pPr>
              <w:numPr>
                <w:ilvl w:val="0"/>
                <w:numId w:val="16"/>
              </w:numPr>
              <w:jc w:val="left"/>
              <w:rPr>
                <w:rFonts w:hint="eastAsia" w:ascii="宋体" w:hAnsi="宋体"/>
                <w:sz w:val="20"/>
              </w:rPr>
            </w:pPr>
            <w:r>
              <w:rPr>
                <w:rFonts w:hint="eastAsia" w:ascii="宋体" w:hAnsi="宋体"/>
                <w:sz w:val="20"/>
              </w:rPr>
              <w:t>指定品牌：嘉士利饼干</w:t>
            </w:r>
          </w:p>
          <w:p>
            <w:pPr>
              <w:jc w:val="left"/>
              <w:rPr>
                <w:rFonts w:hint="eastAsia" w:ascii="宋体" w:hAnsi="宋体"/>
                <w:sz w:val="20"/>
              </w:rPr>
            </w:pPr>
            <w:r>
              <w:rPr>
                <w:rFonts w:hint="eastAsia" w:ascii="宋体" w:hAnsi="宋体"/>
                <w:sz w:val="20"/>
              </w:rPr>
              <w:t>2、供应商应有相应的批发零售场所，在投标文件中有相关证明。</w:t>
            </w:r>
          </w:p>
          <w:p>
            <w:pPr>
              <w:jc w:val="left"/>
              <w:rPr>
                <w:rFonts w:hint="eastAsia" w:ascii="宋体" w:hAnsi="宋体"/>
                <w:sz w:val="20"/>
              </w:rPr>
            </w:pPr>
            <w:r>
              <w:rPr>
                <w:rFonts w:hint="eastAsia" w:ascii="宋体" w:hAnsi="宋体"/>
                <w:sz w:val="20"/>
              </w:rPr>
              <w:t>3、若多家供应商代理不同品牌，应联合投标，超市只确定一个供应商。</w:t>
            </w:r>
          </w:p>
          <w:p>
            <w:pPr>
              <w:jc w:val="left"/>
              <w:rPr>
                <w:rFonts w:ascii="宋体" w:hAnsi="宋体"/>
                <w:sz w:val="20"/>
              </w:rPr>
            </w:pPr>
          </w:p>
        </w:tc>
        <w:tc>
          <w:tcPr>
            <w:tcW w:w="2018" w:type="dxa"/>
            <w:noWrap w:val="0"/>
            <w:vAlign w:val="center"/>
          </w:tcPr>
          <w:p>
            <w:pPr>
              <w:jc w:val="center"/>
              <w:rPr>
                <w:rFonts w:hint="eastAsia" w:ascii="宋体" w:hAnsi="宋体"/>
                <w:sz w:val="20"/>
              </w:rPr>
            </w:pPr>
            <w:r>
              <w:rPr>
                <w:rFonts w:hint="eastAsia" w:ascii="宋体" w:hAnsi="宋体"/>
                <w:sz w:val="20"/>
              </w:rPr>
              <w:t>超市毛利率不低于27%</w:t>
            </w:r>
          </w:p>
        </w:tc>
        <w:tc>
          <w:tcPr>
            <w:tcW w:w="847" w:type="dxa"/>
            <w:noWrap w:val="0"/>
            <w:vAlign w:val="center"/>
          </w:tcPr>
          <w:p>
            <w:pPr>
              <w:jc w:val="center"/>
              <w:rPr>
                <w:rFonts w:hint="eastAsia" w:ascii="宋体" w:hAnsi="宋体"/>
                <w:sz w:val="20"/>
              </w:rPr>
            </w:pPr>
            <w:r>
              <w:rPr>
                <w:rFonts w:hint="eastAsia" w:ascii="宋体" w:hAnsi="宋体"/>
                <w:sz w:val="20"/>
              </w:rPr>
              <w:t>1</w:t>
            </w:r>
          </w:p>
        </w:tc>
        <w:tc>
          <w:tcPr>
            <w:tcW w:w="1160" w:type="dxa"/>
            <w:noWrap w:val="0"/>
            <w:vAlign w:val="center"/>
          </w:tcPr>
          <w:p>
            <w:pPr>
              <w:jc w:val="center"/>
              <w:rPr>
                <w:rFonts w:ascii="宋体" w:hAnsi="宋体"/>
                <w:sz w:val="20"/>
              </w:rPr>
            </w:pPr>
            <w:r>
              <w:rPr>
                <w:rFonts w:hint="eastAsia" w:ascii="宋体" w:hAnsi="宋体" w:cs="宋体"/>
                <w:sz w:val="20"/>
              </w:rPr>
              <w:t>按毛利率高低排序，确定中标顺序。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noWrap w:val="0"/>
            <w:vAlign w:val="center"/>
          </w:tcPr>
          <w:p>
            <w:pPr>
              <w:jc w:val="center"/>
              <w:rPr>
                <w:rFonts w:hint="eastAsia"/>
              </w:rPr>
            </w:pPr>
            <w:r>
              <w:rPr>
                <w:rFonts w:hint="eastAsia"/>
              </w:rPr>
              <w:t>日化日杂</w:t>
            </w:r>
          </w:p>
        </w:tc>
        <w:tc>
          <w:tcPr>
            <w:tcW w:w="1107" w:type="dxa"/>
            <w:noWrap w:val="0"/>
            <w:vAlign w:val="center"/>
          </w:tcPr>
          <w:p>
            <w:pPr>
              <w:jc w:val="center"/>
              <w:rPr>
                <w:rFonts w:hint="eastAsia" w:ascii="宋体" w:hAnsi="宋体"/>
                <w:sz w:val="20"/>
              </w:rPr>
            </w:pPr>
            <w:r>
              <w:rPr>
                <w:rFonts w:hint="eastAsia" w:ascii="宋体" w:hAnsi="宋体"/>
                <w:sz w:val="20"/>
              </w:rPr>
              <w:t>日化（纸品、卫生巾、香皂肥皂、洗发水、牙膏牙刷）、日杂商品</w:t>
            </w:r>
          </w:p>
        </w:tc>
        <w:tc>
          <w:tcPr>
            <w:tcW w:w="4002" w:type="dxa"/>
            <w:noWrap w:val="0"/>
            <w:vAlign w:val="center"/>
          </w:tcPr>
          <w:p>
            <w:pPr>
              <w:numPr>
                <w:ilvl w:val="0"/>
                <w:numId w:val="17"/>
              </w:numPr>
              <w:jc w:val="left"/>
              <w:rPr>
                <w:rFonts w:hint="eastAsia" w:ascii="宋体" w:hAnsi="宋体"/>
                <w:sz w:val="20"/>
              </w:rPr>
            </w:pPr>
            <w:r>
              <w:rPr>
                <w:rFonts w:hint="eastAsia" w:ascii="宋体" w:hAnsi="宋体"/>
                <w:sz w:val="20"/>
              </w:rPr>
              <w:t>供应商应有相应的批发零售场所，在投标文件中有相关证明。</w:t>
            </w:r>
          </w:p>
          <w:p>
            <w:pPr>
              <w:numPr>
                <w:ilvl w:val="0"/>
                <w:numId w:val="17"/>
              </w:numPr>
              <w:jc w:val="left"/>
              <w:rPr>
                <w:rFonts w:hint="eastAsia" w:ascii="宋体" w:hAnsi="宋体"/>
                <w:sz w:val="20"/>
              </w:rPr>
            </w:pPr>
            <w:r>
              <w:rPr>
                <w:rFonts w:hint="eastAsia" w:ascii="宋体" w:hAnsi="宋体"/>
                <w:sz w:val="20"/>
              </w:rPr>
              <w:t>不能及时供货者，由候选中标商递补。</w:t>
            </w:r>
          </w:p>
          <w:p>
            <w:pPr>
              <w:jc w:val="left"/>
              <w:rPr>
                <w:rFonts w:hint="eastAsia" w:ascii="宋体" w:hAnsi="宋体"/>
                <w:sz w:val="20"/>
              </w:rPr>
            </w:pPr>
            <w:r>
              <w:rPr>
                <w:rFonts w:hint="eastAsia" w:ascii="宋体" w:hAnsi="宋体"/>
                <w:sz w:val="20"/>
              </w:rPr>
              <w:t>3、具有生产厂家出具的授权委托书，在投标文件中有相关证明。</w:t>
            </w:r>
          </w:p>
          <w:p>
            <w:pPr>
              <w:jc w:val="left"/>
              <w:rPr>
                <w:rFonts w:hint="eastAsia" w:ascii="宋体" w:hAnsi="宋体"/>
                <w:sz w:val="20"/>
              </w:rPr>
            </w:pPr>
          </w:p>
        </w:tc>
        <w:tc>
          <w:tcPr>
            <w:tcW w:w="2018" w:type="dxa"/>
            <w:noWrap w:val="0"/>
            <w:vAlign w:val="center"/>
          </w:tcPr>
          <w:p>
            <w:pPr>
              <w:jc w:val="center"/>
              <w:rPr>
                <w:rFonts w:ascii="宋体" w:hAnsi="宋体"/>
                <w:sz w:val="20"/>
              </w:rPr>
            </w:pPr>
            <w:r>
              <w:rPr>
                <w:rFonts w:hint="eastAsia" w:ascii="宋体" w:hAnsi="宋体"/>
                <w:sz w:val="20"/>
              </w:rPr>
              <w:t>各供应商分类自报产品清单和最高毛利率，毛利率日化不低于22%；日杂不低于40%。</w:t>
            </w:r>
          </w:p>
        </w:tc>
        <w:tc>
          <w:tcPr>
            <w:tcW w:w="847" w:type="dxa"/>
            <w:noWrap w:val="0"/>
            <w:vAlign w:val="center"/>
          </w:tcPr>
          <w:p>
            <w:pPr>
              <w:jc w:val="center"/>
              <w:rPr>
                <w:rFonts w:ascii="宋体" w:hAnsi="宋体"/>
                <w:sz w:val="20"/>
              </w:rPr>
            </w:pPr>
            <w:r>
              <w:rPr>
                <w:rFonts w:hint="eastAsia" w:ascii="宋体" w:hAnsi="宋体"/>
                <w:sz w:val="20"/>
              </w:rPr>
              <w:t>1</w:t>
            </w:r>
          </w:p>
        </w:tc>
        <w:tc>
          <w:tcPr>
            <w:tcW w:w="1160" w:type="dxa"/>
            <w:noWrap w:val="0"/>
            <w:vAlign w:val="center"/>
          </w:tcPr>
          <w:p>
            <w:pPr>
              <w:jc w:val="center"/>
              <w:rPr>
                <w:rFonts w:ascii="宋体" w:hAnsi="宋体"/>
                <w:sz w:val="20"/>
              </w:rPr>
            </w:pPr>
            <w:r>
              <w:rPr>
                <w:rFonts w:hint="eastAsia" w:ascii="宋体" w:hAnsi="宋体"/>
                <w:sz w:val="20"/>
              </w:rPr>
              <w:t>若投同一家产品，按其高利润率中标。</w:t>
            </w:r>
          </w:p>
        </w:tc>
      </w:tr>
    </w:tbl>
    <w:p>
      <w:pPr>
        <w:pStyle w:val="2"/>
        <w:rPr>
          <w:rFonts w:hint="eastAsia"/>
        </w:rPr>
      </w:pPr>
    </w:p>
    <w:p>
      <w:pPr>
        <w:pStyle w:val="2"/>
        <w:rPr>
          <w:rFonts w:hint="eastAsia" w:ascii="Calibri" w:hAnsi="Calibri" w:eastAsia="方正仿宋_GBK"/>
          <w:sz w:val="24"/>
          <w:szCs w:val="24"/>
        </w:rPr>
      </w:pPr>
    </w:p>
    <w:p>
      <w:pPr>
        <w:rPr>
          <w:rFonts w:hint="eastAsia"/>
        </w:rPr>
      </w:pPr>
    </w:p>
    <w:p>
      <w:pPr>
        <w:spacing w:line="360" w:lineRule="exact"/>
        <w:ind w:firstLine="460" w:firstLineChars="192"/>
        <w:rPr>
          <w:rFonts w:hint="eastAsia" w:ascii="Calibri" w:hAnsi="Calibri" w:eastAsia="方正仿宋_GBK"/>
          <w:sz w:val="24"/>
          <w:szCs w:val="24"/>
        </w:rPr>
      </w:pPr>
      <w:r>
        <w:rPr>
          <w:rFonts w:hint="eastAsia" w:ascii="Calibri" w:hAnsi="Calibri" w:eastAsia="方正仿宋_GBK"/>
          <w:sz w:val="24"/>
          <w:szCs w:val="24"/>
        </w:rPr>
        <w:t>备注：</w:t>
      </w:r>
    </w:p>
    <w:p>
      <w:pPr>
        <w:spacing w:line="360" w:lineRule="exact"/>
        <w:ind w:firstLine="460" w:firstLineChars="192"/>
        <w:rPr>
          <w:rFonts w:hint="eastAsia" w:ascii="Calibri" w:hAnsi="Calibri" w:eastAsia="方正仿宋_GBK"/>
          <w:sz w:val="24"/>
          <w:szCs w:val="24"/>
        </w:rPr>
      </w:pPr>
      <w:r>
        <w:rPr>
          <w:rFonts w:hint="eastAsia" w:ascii="Calibri" w:hAnsi="Calibri" w:eastAsia="方正仿宋_GBK"/>
          <w:sz w:val="24"/>
          <w:szCs w:val="24"/>
        </w:rPr>
        <w:t>1、注：毛利率计算公式为：毛利率=（售价-进价）÷售价x100%</w:t>
      </w:r>
    </w:p>
    <w:p>
      <w:pPr>
        <w:spacing w:line="360" w:lineRule="exact"/>
        <w:ind w:firstLine="460" w:firstLineChars="192"/>
        <w:rPr>
          <w:rFonts w:eastAsia="方正仿宋_GBK"/>
          <w:sz w:val="30"/>
          <w:szCs w:val="30"/>
        </w:rPr>
      </w:pPr>
      <w:r>
        <w:rPr>
          <w:rFonts w:hint="eastAsia" w:ascii="Calibri" w:hAnsi="Calibri" w:eastAsia="方正仿宋_GBK"/>
          <w:sz w:val="24"/>
          <w:szCs w:val="24"/>
        </w:rPr>
        <w:t>2、中标名额仅为最大中标供应商数，若不足可少于最大数额。</w:t>
      </w:r>
    </w:p>
    <w:p>
      <w:pPr>
        <w:pStyle w:val="37"/>
        <w:ind w:firstLine="0" w:firstLineChars="0"/>
        <w:rPr>
          <w:lang w:val="en-US" w:eastAsia="zh-CN"/>
        </w:rPr>
      </w:pPr>
      <w:r>
        <w:rPr>
          <w:rFonts w:hint="eastAsia"/>
          <w:lang w:val="en-US" w:eastAsia="zh-CN"/>
        </w:rPr>
        <w:t xml:space="preserve">      </w:t>
      </w:r>
    </w:p>
    <w:p>
      <w:pPr>
        <w:spacing w:line="400" w:lineRule="exact"/>
        <w:ind w:firstLine="480" w:firstLineChars="200"/>
        <w:outlineLvl w:val="2"/>
        <w:rPr>
          <w:rFonts w:hint="eastAsia" w:ascii="仿宋" w:hAnsi="仿宋" w:eastAsia="仿宋"/>
          <w:sz w:val="24"/>
          <w:szCs w:val="28"/>
        </w:rPr>
      </w:pPr>
    </w:p>
    <w:p>
      <w:pPr>
        <w:pStyle w:val="3"/>
        <w:spacing w:before="0" w:beforeLines="0" w:after="0" w:afterLines="0" w:line="360" w:lineRule="auto"/>
        <w:jc w:val="both"/>
        <w:rPr>
          <w:rFonts w:hint="eastAsia" w:ascii="仿宋" w:hAnsi="仿宋" w:eastAsia="仿宋"/>
          <w:b/>
        </w:rPr>
      </w:pPr>
    </w:p>
    <w:p>
      <w:pPr>
        <w:pStyle w:val="3"/>
        <w:spacing w:before="0" w:beforeLines="0" w:after="0" w:afterLines="0" w:line="360" w:lineRule="auto"/>
        <w:rPr>
          <w:rFonts w:hint="eastAsia" w:ascii="仿宋" w:hAnsi="仿宋" w:eastAsia="仿宋"/>
          <w:b/>
        </w:rPr>
      </w:pPr>
    </w:p>
    <w:p>
      <w:pPr>
        <w:pStyle w:val="3"/>
        <w:spacing w:before="0" w:beforeLines="0" w:after="0" w:afterLines="0" w:line="360" w:lineRule="auto"/>
        <w:rPr>
          <w:rFonts w:hint="eastAsia" w:ascii="仿宋" w:hAnsi="仿宋" w:eastAsia="仿宋"/>
          <w:b/>
        </w:rPr>
      </w:pPr>
    </w:p>
    <w:p>
      <w:pPr>
        <w:pStyle w:val="3"/>
        <w:spacing w:before="0" w:beforeLines="0" w:after="0" w:afterLines="0" w:line="360" w:lineRule="auto"/>
        <w:rPr>
          <w:rFonts w:hint="eastAsia" w:ascii="仿宋" w:hAnsi="仿宋" w:eastAsia="仿宋"/>
          <w:b/>
        </w:rPr>
      </w:pPr>
    </w:p>
    <w:p>
      <w:pPr>
        <w:pStyle w:val="3"/>
        <w:spacing w:before="0" w:beforeLines="0" w:after="0" w:afterLines="0" w:line="360" w:lineRule="auto"/>
        <w:jc w:val="both"/>
        <w:rPr>
          <w:rFonts w:hint="eastAsia" w:ascii="仿宋" w:hAnsi="仿宋" w:eastAsia="仿宋"/>
          <w:b/>
        </w:rPr>
      </w:pPr>
    </w:p>
    <w:p>
      <w:pPr>
        <w:rPr>
          <w:rFonts w:hint="eastAsia" w:ascii="仿宋" w:hAnsi="仿宋" w:eastAsia="仿宋"/>
          <w:b/>
        </w:rPr>
      </w:pPr>
    </w:p>
    <w:p>
      <w:pPr>
        <w:rPr>
          <w:rFonts w:hint="eastAsia" w:ascii="仿宋" w:hAnsi="仿宋" w:eastAsia="仿宋"/>
          <w:b/>
        </w:rPr>
      </w:pPr>
    </w:p>
    <w:p>
      <w:pPr>
        <w:rPr>
          <w:rFonts w:hint="eastAsia"/>
        </w:rPr>
      </w:pPr>
    </w:p>
    <w:p>
      <w:pPr>
        <w:pStyle w:val="3"/>
        <w:spacing w:before="0" w:beforeLines="0" w:after="0" w:afterLines="0" w:line="360" w:lineRule="auto"/>
        <w:rPr>
          <w:rFonts w:hint="eastAsia" w:ascii="仿宋" w:hAnsi="仿宋" w:eastAsia="仿宋"/>
          <w:b/>
        </w:rPr>
      </w:pPr>
      <w:bookmarkStart w:id="16" w:name="_Toc25689"/>
      <w:r>
        <w:rPr>
          <w:rFonts w:hint="eastAsia" w:ascii="仿宋" w:hAnsi="仿宋" w:eastAsia="仿宋"/>
          <w:b/>
        </w:rPr>
        <w:t>第三篇  项目商务要求</w:t>
      </w:r>
      <w:bookmarkEnd w:id="16"/>
    </w:p>
    <w:p>
      <w:pPr>
        <w:spacing w:line="360" w:lineRule="exact"/>
        <w:rPr>
          <w:rFonts w:hint="eastAsia" w:ascii="仿宋" w:hAnsi="仿宋" w:eastAsia="仿宋"/>
          <w:b/>
          <w:sz w:val="24"/>
          <w:szCs w:val="24"/>
        </w:rPr>
      </w:pPr>
      <w:bookmarkStart w:id="17" w:name="_Toc267320049"/>
      <w:bookmarkStart w:id="18" w:name="_Toc408840513"/>
      <w:r>
        <w:rPr>
          <w:rFonts w:hint="eastAsia" w:ascii="仿宋" w:hAnsi="仿宋" w:eastAsia="仿宋"/>
          <w:b/>
          <w:sz w:val="24"/>
          <w:szCs w:val="24"/>
        </w:rPr>
        <w:t>一、</w:t>
      </w:r>
      <w:bookmarkEnd w:id="17"/>
      <w:bookmarkEnd w:id="18"/>
      <w:r>
        <w:rPr>
          <w:rFonts w:hint="eastAsia" w:ascii="仿宋" w:hAnsi="仿宋" w:eastAsia="仿宋"/>
          <w:b/>
          <w:sz w:val="24"/>
          <w:szCs w:val="24"/>
        </w:rPr>
        <w:t>货物包装、交货时间、地点及验收方式</w:t>
      </w:r>
    </w:p>
    <w:p>
      <w:pPr>
        <w:spacing w:line="360" w:lineRule="exact"/>
        <w:ind w:firstLine="480" w:firstLineChars="200"/>
        <w:rPr>
          <w:rFonts w:hint="eastAsia" w:ascii="仿宋" w:hAnsi="仿宋" w:eastAsia="仿宋"/>
          <w:sz w:val="24"/>
          <w:szCs w:val="24"/>
        </w:rPr>
      </w:pPr>
      <w:bookmarkStart w:id="19" w:name="_Toc267320050"/>
      <w:r>
        <w:rPr>
          <w:rFonts w:hint="eastAsia" w:ascii="仿宋" w:hAnsi="仿宋" w:eastAsia="仿宋"/>
          <w:sz w:val="24"/>
          <w:szCs w:val="24"/>
        </w:rPr>
        <w:t>1、交货时间：根据售卖情况及时供货。</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2、交货地点：采购单位指定地点。</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3、验货标准：符合技术规范和技术标准，符合采购的数量。</w:t>
      </w:r>
    </w:p>
    <w:p>
      <w:pPr>
        <w:spacing w:line="360" w:lineRule="exact"/>
        <w:ind w:firstLine="480" w:firstLineChars="200"/>
        <w:rPr>
          <w:rFonts w:hint="eastAsia" w:ascii="仿宋" w:hAnsi="仿宋" w:eastAsia="仿宋"/>
          <w:sz w:val="24"/>
          <w:szCs w:val="24"/>
        </w:rPr>
      </w:pPr>
      <w:bookmarkStart w:id="20" w:name="_Toc408840514"/>
      <w:r>
        <w:rPr>
          <w:rFonts w:hint="eastAsia" w:ascii="仿宋" w:hAnsi="仿宋" w:eastAsia="仿宋"/>
          <w:sz w:val="24"/>
          <w:szCs w:val="24"/>
        </w:rPr>
        <w:t>4、验货前产生的一切费用由供方提供。</w:t>
      </w:r>
    </w:p>
    <w:p>
      <w:pPr>
        <w:spacing w:line="360" w:lineRule="exact"/>
        <w:rPr>
          <w:rFonts w:hint="eastAsia" w:ascii="仿宋" w:hAnsi="仿宋" w:eastAsia="仿宋"/>
          <w:b/>
          <w:sz w:val="24"/>
          <w:szCs w:val="24"/>
        </w:rPr>
      </w:pPr>
      <w:r>
        <w:rPr>
          <w:rFonts w:hint="eastAsia" w:ascii="仿宋" w:hAnsi="仿宋" w:eastAsia="仿宋"/>
          <w:b/>
          <w:sz w:val="24"/>
          <w:szCs w:val="24"/>
        </w:rPr>
        <w:t>二、</w:t>
      </w:r>
      <w:bookmarkEnd w:id="20"/>
      <w:r>
        <w:rPr>
          <w:rFonts w:hint="eastAsia" w:ascii="仿宋" w:hAnsi="仿宋" w:eastAsia="仿宋"/>
          <w:b/>
          <w:sz w:val="24"/>
          <w:szCs w:val="24"/>
        </w:rPr>
        <w:t>质量保证及售后服务内容</w:t>
      </w:r>
    </w:p>
    <w:p>
      <w:pPr>
        <w:spacing w:line="360" w:lineRule="exact"/>
        <w:ind w:firstLine="480" w:firstLineChars="200"/>
        <w:rPr>
          <w:rFonts w:hint="eastAsia" w:ascii="仿宋" w:hAnsi="仿宋" w:eastAsia="仿宋"/>
          <w:sz w:val="24"/>
          <w:szCs w:val="24"/>
        </w:rPr>
      </w:pPr>
      <w:bookmarkStart w:id="21" w:name="_Toc408840515"/>
      <w:r>
        <w:rPr>
          <w:rFonts w:hint="eastAsia" w:ascii="仿宋" w:hAnsi="仿宋" w:eastAsia="仿宋"/>
          <w:sz w:val="24"/>
          <w:szCs w:val="24"/>
        </w:rPr>
        <w:t>售后服务内容</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1、采购货物属于国家规定“三包”范围的，其产品质量保证期不得低于“三包”规定。</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2、对变质、发霉货物及时更换。</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3、保证货品质量。</w:t>
      </w:r>
    </w:p>
    <w:p>
      <w:pPr>
        <w:spacing w:line="360" w:lineRule="exact"/>
        <w:rPr>
          <w:rFonts w:hint="eastAsia" w:ascii="仿宋" w:hAnsi="仿宋" w:eastAsia="仿宋"/>
          <w:b/>
          <w:sz w:val="24"/>
          <w:szCs w:val="24"/>
        </w:rPr>
      </w:pPr>
      <w:r>
        <w:rPr>
          <w:rFonts w:hint="eastAsia" w:ascii="仿宋" w:hAnsi="仿宋" w:eastAsia="仿宋"/>
          <w:b/>
          <w:sz w:val="24"/>
          <w:szCs w:val="24"/>
        </w:rPr>
        <w:t>三、</w:t>
      </w:r>
      <w:bookmarkEnd w:id="19"/>
      <w:bookmarkEnd w:id="21"/>
      <w:r>
        <w:rPr>
          <w:rFonts w:hint="eastAsia" w:ascii="仿宋" w:hAnsi="仿宋" w:eastAsia="仿宋"/>
          <w:b/>
          <w:sz w:val="24"/>
          <w:szCs w:val="24"/>
        </w:rPr>
        <w:t>货款支付</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1、每月25日对本月供货货物进行对账；</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2、次月1日按财务要求把资料交予学校财务人员；</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3、次月财务完成审核后，支付上月货款；</w:t>
      </w:r>
    </w:p>
    <w:p>
      <w:pPr>
        <w:spacing w:line="360" w:lineRule="exact"/>
        <w:rPr>
          <w:rFonts w:hint="eastAsia" w:ascii="仿宋" w:hAnsi="仿宋" w:eastAsia="仿宋"/>
          <w:b/>
          <w:sz w:val="24"/>
          <w:szCs w:val="24"/>
        </w:rPr>
      </w:pPr>
      <w:r>
        <w:rPr>
          <w:rFonts w:hint="eastAsia" w:ascii="仿宋" w:hAnsi="仿宋" w:eastAsia="仿宋"/>
          <w:b/>
          <w:sz w:val="24"/>
          <w:szCs w:val="24"/>
        </w:rPr>
        <w:t>四、其他</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1、供应商必须在响应文件中对以上条款和服务承诺明确列出，承诺内容必须达到本篇及询价采购文件（即招标文件）其他条款的要求。</w:t>
      </w:r>
    </w:p>
    <w:p>
      <w:pPr>
        <w:spacing w:line="360" w:lineRule="exact"/>
        <w:ind w:firstLine="480" w:firstLineChars="200"/>
        <w:rPr>
          <w:rFonts w:hint="eastAsia" w:ascii="仿宋" w:hAnsi="仿宋" w:eastAsia="仿宋"/>
          <w:sz w:val="24"/>
          <w:szCs w:val="24"/>
        </w:rPr>
      </w:pPr>
      <w:r>
        <w:rPr>
          <w:rFonts w:hint="eastAsia" w:ascii="仿宋" w:hAnsi="仿宋" w:eastAsia="仿宋"/>
          <w:sz w:val="24"/>
          <w:szCs w:val="24"/>
        </w:rPr>
        <w:t>2、其他未尽事宜由供需双方在采购合同中详细约定。</w:t>
      </w:r>
    </w:p>
    <w:p>
      <w:pPr>
        <w:snapToGrid w:val="0"/>
        <w:spacing w:line="400" w:lineRule="exact"/>
        <w:ind w:firstLine="480" w:firstLineChars="200"/>
        <w:rPr>
          <w:rFonts w:hint="eastAsia" w:ascii="仿宋" w:hAnsi="仿宋" w:eastAsia="仿宋" w:cs="宋体"/>
          <w:kern w:val="0"/>
          <w:sz w:val="24"/>
          <w:szCs w:val="24"/>
        </w:rPr>
      </w:pPr>
    </w:p>
    <w:p>
      <w:pPr>
        <w:pStyle w:val="3"/>
        <w:spacing w:before="0" w:beforeLines="0" w:after="0" w:afterLines="0" w:line="360" w:lineRule="auto"/>
        <w:rPr>
          <w:rFonts w:hint="eastAsia" w:ascii="仿宋" w:hAnsi="仿宋" w:eastAsia="仿宋"/>
          <w:b/>
        </w:rPr>
      </w:pPr>
      <w:r>
        <w:rPr>
          <w:rFonts w:ascii="仿宋" w:hAnsi="仿宋" w:eastAsia="仿宋"/>
          <w:sz w:val="28"/>
        </w:rPr>
        <w:br w:type="page"/>
      </w:r>
      <w:bookmarkStart w:id="22" w:name="_Toc2844"/>
      <w:r>
        <w:rPr>
          <w:rFonts w:hint="eastAsia" w:ascii="仿宋" w:hAnsi="仿宋" w:eastAsia="仿宋"/>
          <w:b/>
        </w:rPr>
        <w:t>第四篇  资格审查及评标办法</w:t>
      </w:r>
      <w:bookmarkEnd w:id="22"/>
    </w:p>
    <w:p>
      <w:pPr>
        <w:pStyle w:val="4"/>
        <w:spacing w:line="400" w:lineRule="exact"/>
        <w:ind w:firstLine="482" w:firstLineChars="200"/>
        <w:rPr>
          <w:rFonts w:hint="eastAsia" w:ascii="仿宋" w:hAnsi="仿宋" w:eastAsia="仿宋"/>
          <w:b/>
          <w:sz w:val="24"/>
          <w:szCs w:val="24"/>
          <w:lang w:eastAsia="zh-CN"/>
        </w:rPr>
      </w:pPr>
      <w:bookmarkStart w:id="23" w:name="_Toc3835"/>
      <w:bookmarkStart w:id="24" w:name="_Toc492721015"/>
      <w:r>
        <w:rPr>
          <w:rFonts w:hint="eastAsia" w:ascii="仿宋" w:hAnsi="仿宋" w:eastAsia="仿宋"/>
          <w:b/>
          <w:sz w:val="24"/>
          <w:szCs w:val="24"/>
        </w:rPr>
        <w:t>一、资格审查</w:t>
      </w:r>
      <w:bookmarkEnd w:id="23"/>
      <w:bookmarkEnd w:id="24"/>
    </w:p>
    <w:p>
      <w:pPr>
        <w:snapToGrid w:val="0"/>
        <w:spacing w:line="400" w:lineRule="exact"/>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t>依据政府采购相关法律法规规定,由采购人或采购代理机构对投标文件中的资格证明文件进行审查。资格审查资料表如下：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676" w:type="dxa"/>
            <w:noWrap w:val="0"/>
            <w:vAlign w:val="center"/>
          </w:tcPr>
          <w:p>
            <w:pPr>
              <w:spacing w:line="240" w:lineRule="exact"/>
              <w:jc w:val="center"/>
              <w:rPr>
                <w:rFonts w:hint="eastAsia" w:ascii="仿宋" w:hAnsi="仿宋" w:eastAsia="仿宋" w:cs="宋体"/>
                <w:b/>
                <w:kern w:val="0"/>
                <w:sz w:val="21"/>
                <w:szCs w:val="21"/>
              </w:rPr>
            </w:pPr>
            <w:r>
              <w:rPr>
                <w:rFonts w:hint="eastAsia" w:ascii="仿宋" w:hAnsi="仿宋" w:eastAsia="仿宋" w:cs="宋体"/>
                <w:b/>
                <w:kern w:val="0"/>
                <w:sz w:val="21"/>
                <w:szCs w:val="21"/>
              </w:rPr>
              <w:t>序号</w:t>
            </w:r>
          </w:p>
        </w:tc>
        <w:tc>
          <w:tcPr>
            <w:tcW w:w="5102" w:type="dxa"/>
            <w:gridSpan w:val="2"/>
            <w:noWrap w:val="0"/>
            <w:vAlign w:val="center"/>
          </w:tcPr>
          <w:p>
            <w:pPr>
              <w:spacing w:line="240" w:lineRule="exact"/>
              <w:jc w:val="center"/>
              <w:rPr>
                <w:rFonts w:hint="eastAsia" w:ascii="仿宋" w:hAnsi="仿宋" w:eastAsia="仿宋" w:cs="宋体"/>
                <w:b/>
                <w:kern w:val="0"/>
                <w:sz w:val="21"/>
                <w:szCs w:val="21"/>
              </w:rPr>
            </w:pPr>
            <w:r>
              <w:rPr>
                <w:rFonts w:hint="eastAsia" w:ascii="仿宋" w:hAnsi="仿宋" w:eastAsia="仿宋" w:cs="宋体"/>
                <w:b/>
                <w:kern w:val="0"/>
                <w:sz w:val="21"/>
                <w:szCs w:val="21"/>
              </w:rPr>
              <w:t>检查因素</w:t>
            </w:r>
          </w:p>
        </w:tc>
        <w:tc>
          <w:tcPr>
            <w:tcW w:w="3850" w:type="dxa"/>
            <w:noWrap w:val="0"/>
            <w:vAlign w:val="center"/>
          </w:tcPr>
          <w:p>
            <w:pPr>
              <w:spacing w:line="240" w:lineRule="exact"/>
              <w:jc w:val="center"/>
              <w:rPr>
                <w:rFonts w:hint="eastAsia" w:ascii="仿宋" w:hAnsi="仿宋" w:eastAsia="仿宋" w:cs="宋体"/>
                <w:b/>
                <w:kern w:val="0"/>
                <w:sz w:val="21"/>
                <w:szCs w:val="21"/>
              </w:rPr>
            </w:pPr>
            <w:r>
              <w:rPr>
                <w:rFonts w:hint="eastAsia" w:ascii="仿宋" w:hAnsi="仿宋" w:eastAsia="仿宋"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1</w:t>
            </w:r>
          </w:p>
        </w:tc>
        <w:tc>
          <w:tcPr>
            <w:tcW w:w="709" w:type="dxa"/>
            <w:vMerge w:val="restart"/>
            <w:noWrap w:val="0"/>
            <w:vAlign w:val="center"/>
          </w:tcPr>
          <w:p>
            <w:pPr>
              <w:spacing w:line="240" w:lineRule="exact"/>
              <w:rPr>
                <w:rFonts w:hint="eastAsia" w:ascii="仿宋" w:hAnsi="仿宋" w:eastAsia="仿宋" w:cs="仿宋_GB2312"/>
                <w:sz w:val="21"/>
                <w:szCs w:val="21"/>
                <w:lang w:val="zh-CN"/>
              </w:rPr>
            </w:pPr>
            <w:r>
              <w:rPr>
                <w:rFonts w:hint="eastAsia" w:ascii="仿宋" w:hAnsi="仿宋" w:eastAsia="仿宋" w:cs="仿宋_GB2312"/>
                <w:sz w:val="21"/>
                <w:szCs w:val="21"/>
                <w:lang w:val="zh-CN"/>
              </w:rPr>
              <w:t>投标人应符合的基本资格条件</w:t>
            </w:r>
          </w:p>
        </w:tc>
        <w:tc>
          <w:tcPr>
            <w:tcW w:w="4393" w:type="dxa"/>
            <w:noWrap w:val="0"/>
            <w:vAlign w:val="center"/>
          </w:tcPr>
          <w:p>
            <w:pPr>
              <w:spacing w:line="240" w:lineRule="exact"/>
              <w:rPr>
                <w:rFonts w:hint="eastAsia" w:ascii="仿宋" w:hAnsi="仿宋" w:eastAsia="仿宋"/>
                <w:sz w:val="21"/>
                <w:szCs w:val="21"/>
              </w:rPr>
            </w:pPr>
            <w:r>
              <w:rPr>
                <w:rFonts w:hint="eastAsia" w:ascii="仿宋" w:hAnsi="仿宋" w:eastAsia="仿宋"/>
                <w:sz w:val="21"/>
                <w:szCs w:val="21"/>
              </w:rPr>
              <w:t>（1）具有独立承担民事责任的能力</w:t>
            </w:r>
          </w:p>
        </w:tc>
        <w:tc>
          <w:tcPr>
            <w:tcW w:w="3850" w:type="dxa"/>
            <w:noWrap w:val="0"/>
            <w:vAlign w:val="center"/>
          </w:tcPr>
          <w:p>
            <w:pPr>
              <w:spacing w:line="240" w:lineRule="exact"/>
              <w:rPr>
                <w:rFonts w:hint="eastAsia" w:ascii="仿宋" w:hAnsi="仿宋" w:eastAsia="仿宋"/>
                <w:sz w:val="21"/>
                <w:szCs w:val="21"/>
              </w:rPr>
            </w:pPr>
            <w:r>
              <w:rPr>
                <w:rFonts w:hint="eastAsia" w:ascii="仿宋" w:hAnsi="仿宋" w:eastAsia="仿宋"/>
                <w:sz w:val="21"/>
                <w:szCs w:val="21"/>
              </w:rPr>
              <w:t>投标人法人营业执照（副本）或事业单位法人证书（副本）或个体工商户营业执照或有效的自然人身份证明、组织机构代码证复印件（注</w:t>
            </w:r>
            <w:r>
              <w:rPr>
                <w:rFonts w:hint="eastAsia" w:ascii="仿宋" w:hAnsi="仿宋" w:eastAsia="仿宋"/>
                <w:sz w:val="21"/>
                <w:szCs w:val="21"/>
              </w:rPr>
              <w:fldChar w:fldCharType="begin"/>
            </w:r>
            <w:r>
              <w:rPr>
                <w:rFonts w:hint="eastAsia" w:ascii="仿宋" w:hAnsi="仿宋" w:eastAsia="仿宋"/>
                <w:sz w:val="21"/>
                <w:szCs w:val="21"/>
              </w:rPr>
              <w:instrText xml:space="preserve"> eq \o\ac(○,1)</w:instrText>
            </w:r>
            <w:r>
              <w:rPr>
                <w:rFonts w:hint="eastAsia" w:ascii="仿宋" w:hAnsi="仿宋" w:eastAsia="仿宋"/>
                <w:sz w:val="21"/>
                <w:szCs w:val="21"/>
              </w:rPr>
              <w:fldChar w:fldCharType="end"/>
            </w:r>
            <w:r>
              <w:rPr>
                <w:rFonts w:hint="eastAsia" w:ascii="仿宋" w:hAnsi="仿宋" w:eastAsia="仿宋"/>
                <w:sz w:val="21"/>
                <w:szCs w:val="21"/>
              </w:rPr>
              <w:t xml:space="preserve">）； </w:t>
            </w:r>
          </w:p>
          <w:p>
            <w:pPr>
              <w:spacing w:line="240" w:lineRule="exact"/>
              <w:rPr>
                <w:rFonts w:hint="eastAsia" w:ascii="仿宋" w:hAnsi="仿宋" w:eastAsia="仿宋"/>
                <w:sz w:val="21"/>
                <w:szCs w:val="21"/>
              </w:rPr>
            </w:pPr>
            <w:r>
              <w:rPr>
                <w:rFonts w:hint="eastAsia" w:ascii="仿宋" w:hAnsi="仿宋" w:eastAsia="仿宋"/>
                <w:sz w:val="21"/>
                <w:szCs w:val="21"/>
              </w:rPr>
              <w:t>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6" w:type="dxa"/>
            <w:vMerge w:val="continue"/>
            <w:noWrap w:val="0"/>
            <w:vAlign w:val="center"/>
          </w:tcPr>
          <w:p>
            <w:pPr>
              <w:spacing w:line="240" w:lineRule="exact"/>
              <w:jc w:val="center"/>
              <w:rPr>
                <w:rFonts w:hint="eastAsia" w:ascii="仿宋" w:hAnsi="仿宋" w:eastAsia="仿宋"/>
                <w:sz w:val="21"/>
                <w:szCs w:val="21"/>
              </w:rPr>
            </w:pPr>
          </w:p>
        </w:tc>
        <w:tc>
          <w:tcPr>
            <w:tcW w:w="709" w:type="dxa"/>
            <w:vMerge w:val="continue"/>
            <w:noWrap w:val="0"/>
            <w:vAlign w:val="center"/>
          </w:tcPr>
          <w:p>
            <w:pPr>
              <w:spacing w:line="240" w:lineRule="exact"/>
              <w:rPr>
                <w:rFonts w:hint="eastAsia" w:ascii="仿宋" w:hAnsi="仿宋" w:eastAsia="仿宋" w:cs="仿宋_GB2312"/>
                <w:sz w:val="21"/>
                <w:szCs w:val="21"/>
                <w:lang w:val="zh-CN"/>
              </w:rPr>
            </w:pPr>
          </w:p>
        </w:tc>
        <w:tc>
          <w:tcPr>
            <w:tcW w:w="4393" w:type="dxa"/>
            <w:noWrap w:val="0"/>
            <w:vAlign w:val="center"/>
          </w:tcPr>
          <w:p>
            <w:pPr>
              <w:spacing w:line="240" w:lineRule="exact"/>
              <w:rPr>
                <w:rFonts w:hint="eastAsia" w:ascii="仿宋" w:hAnsi="仿宋" w:eastAsia="仿宋"/>
                <w:sz w:val="21"/>
                <w:szCs w:val="21"/>
              </w:rPr>
            </w:pPr>
            <w:r>
              <w:rPr>
                <w:rFonts w:hint="eastAsia" w:ascii="仿宋" w:hAnsi="仿宋" w:eastAsia="仿宋" w:cs="仿宋_GB2312"/>
                <w:sz w:val="21"/>
                <w:szCs w:val="21"/>
                <w:lang w:val="zh-CN"/>
              </w:rPr>
              <w:t>（2）</w:t>
            </w:r>
            <w:r>
              <w:rPr>
                <w:rFonts w:hint="eastAsia" w:ascii="仿宋" w:hAnsi="仿宋" w:eastAsia="仿宋"/>
                <w:sz w:val="21"/>
                <w:szCs w:val="21"/>
              </w:rPr>
              <w:t>具有良好的商业信誉和健全的财务会计制度</w:t>
            </w:r>
          </w:p>
        </w:tc>
        <w:tc>
          <w:tcPr>
            <w:tcW w:w="3850" w:type="dxa"/>
            <w:vMerge w:val="restart"/>
            <w:noWrap w:val="0"/>
            <w:vAlign w:val="center"/>
          </w:tcPr>
          <w:p>
            <w:pPr>
              <w:spacing w:line="240" w:lineRule="exact"/>
              <w:rPr>
                <w:rFonts w:hint="eastAsia" w:ascii="仿宋" w:hAnsi="仿宋" w:eastAsia="仿宋"/>
                <w:sz w:val="21"/>
                <w:szCs w:val="21"/>
              </w:rPr>
            </w:pPr>
            <w:r>
              <w:rPr>
                <w:rFonts w:hint="eastAsia" w:ascii="仿宋" w:hAnsi="仿宋" w:eastAsia="仿宋"/>
                <w:sz w:val="21"/>
                <w:szCs w:val="21"/>
              </w:rPr>
              <w:t>1、供应商提供诚信声明；2、响应文件中有缴纳社保的记录将优先考虑及排序（其原则优于报价）；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76" w:type="dxa"/>
            <w:vMerge w:val="continue"/>
            <w:noWrap w:val="0"/>
            <w:vAlign w:val="center"/>
          </w:tcPr>
          <w:p>
            <w:pPr>
              <w:spacing w:line="240" w:lineRule="exact"/>
              <w:jc w:val="center"/>
              <w:rPr>
                <w:rFonts w:hint="eastAsia" w:ascii="仿宋" w:hAnsi="仿宋" w:eastAsia="仿宋"/>
                <w:sz w:val="21"/>
                <w:szCs w:val="21"/>
              </w:rPr>
            </w:pPr>
          </w:p>
        </w:tc>
        <w:tc>
          <w:tcPr>
            <w:tcW w:w="709" w:type="dxa"/>
            <w:vMerge w:val="continue"/>
            <w:noWrap w:val="0"/>
            <w:vAlign w:val="center"/>
          </w:tcPr>
          <w:p>
            <w:pPr>
              <w:spacing w:line="240" w:lineRule="exact"/>
              <w:rPr>
                <w:rFonts w:hint="eastAsia" w:ascii="仿宋" w:hAnsi="仿宋" w:eastAsia="仿宋" w:cs="仿宋_GB2312"/>
                <w:sz w:val="21"/>
                <w:szCs w:val="21"/>
                <w:lang w:val="zh-CN"/>
              </w:rPr>
            </w:pPr>
          </w:p>
        </w:tc>
        <w:tc>
          <w:tcPr>
            <w:tcW w:w="4393" w:type="dxa"/>
            <w:noWrap w:val="0"/>
            <w:vAlign w:val="center"/>
          </w:tcPr>
          <w:p>
            <w:pPr>
              <w:spacing w:line="240" w:lineRule="exact"/>
              <w:rPr>
                <w:rFonts w:hint="eastAsia" w:ascii="仿宋" w:hAnsi="仿宋" w:eastAsia="仿宋" w:cs="仿宋_GB2312"/>
                <w:sz w:val="21"/>
                <w:szCs w:val="21"/>
                <w:lang w:val="zh-CN"/>
              </w:rPr>
            </w:pPr>
            <w:r>
              <w:rPr>
                <w:rFonts w:hint="eastAsia" w:ascii="仿宋" w:hAnsi="仿宋" w:eastAsia="仿宋" w:cs="仿宋_GB2312"/>
                <w:sz w:val="21"/>
                <w:szCs w:val="21"/>
                <w:lang w:val="zh-CN"/>
              </w:rPr>
              <w:t>（3）具有履行合同所必需的设备和专业技术能力</w:t>
            </w:r>
          </w:p>
        </w:tc>
        <w:tc>
          <w:tcPr>
            <w:tcW w:w="3850" w:type="dxa"/>
            <w:vMerge w:val="continue"/>
            <w:noWrap w:val="0"/>
            <w:vAlign w:val="center"/>
          </w:tcPr>
          <w:p>
            <w:pPr>
              <w:spacing w:line="240" w:lineRule="exact"/>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spacing w:line="240" w:lineRule="exact"/>
              <w:jc w:val="center"/>
              <w:rPr>
                <w:rFonts w:hint="eastAsia" w:ascii="仿宋" w:hAnsi="仿宋" w:eastAsia="仿宋"/>
                <w:sz w:val="21"/>
                <w:szCs w:val="21"/>
              </w:rPr>
            </w:pPr>
          </w:p>
        </w:tc>
        <w:tc>
          <w:tcPr>
            <w:tcW w:w="709" w:type="dxa"/>
            <w:vMerge w:val="continue"/>
            <w:noWrap w:val="0"/>
            <w:vAlign w:val="center"/>
          </w:tcPr>
          <w:p>
            <w:pPr>
              <w:spacing w:line="240" w:lineRule="exact"/>
              <w:rPr>
                <w:rFonts w:hint="eastAsia" w:ascii="仿宋" w:hAnsi="仿宋" w:eastAsia="仿宋" w:cs="仿宋_GB2312"/>
                <w:sz w:val="21"/>
                <w:szCs w:val="21"/>
                <w:lang w:val="zh-CN"/>
              </w:rPr>
            </w:pPr>
          </w:p>
        </w:tc>
        <w:tc>
          <w:tcPr>
            <w:tcW w:w="4393" w:type="dxa"/>
            <w:noWrap w:val="0"/>
            <w:vAlign w:val="center"/>
          </w:tcPr>
          <w:p>
            <w:pPr>
              <w:spacing w:line="240" w:lineRule="exact"/>
              <w:rPr>
                <w:rFonts w:hint="eastAsia" w:ascii="仿宋" w:hAnsi="仿宋" w:eastAsia="仿宋" w:cs="仿宋_GB2312"/>
                <w:sz w:val="21"/>
                <w:szCs w:val="21"/>
                <w:lang w:val="zh-CN"/>
              </w:rPr>
            </w:pPr>
            <w:r>
              <w:rPr>
                <w:rFonts w:hint="eastAsia" w:ascii="仿宋" w:hAnsi="仿宋" w:eastAsia="仿宋" w:cs="仿宋_GB2312"/>
                <w:sz w:val="21"/>
                <w:szCs w:val="21"/>
                <w:lang w:val="zh-CN"/>
              </w:rPr>
              <w:t>（4）有依法缴纳税收和社会保障金的良好记录</w:t>
            </w:r>
          </w:p>
        </w:tc>
        <w:tc>
          <w:tcPr>
            <w:tcW w:w="3850" w:type="dxa"/>
            <w:vMerge w:val="continue"/>
            <w:noWrap w:val="0"/>
            <w:vAlign w:val="center"/>
          </w:tcPr>
          <w:p>
            <w:pPr>
              <w:spacing w:line="240" w:lineRule="exact"/>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spacing w:line="240" w:lineRule="exact"/>
              <w:jc w:val="center"/>
              <w:rPr>
                <w:rFonts w:hint="eastAsia" w:ascii="仿宋" w:hAnsi="仿宋" w:eastAsia="仿宋"/>
                <w:sz w:val="21"/>
                <w:szCs w:val="21"/>
              </w:rPr>
            </w:pPr>
          </w:p>
        </w:tc>
        <w:tc>
          <w:tcPr>
            <w:tcW w:w="709" w:type="dxa"/>
            <w:vMerge w:val="continue"/>
            <w:noWrap w:val="0"/>
            <w:vAlign w:val="center"/>
          </w:tcPr>
          <w:p>
            <w:pPr>
              <w:spacing w:line="240" w:lineRule="exact"/>
              <w:rPr>
                <w:rFonts w:hint="eastAsia" w:ascii="仿宋" w:hAnsi="仿宋" w:eastAsia="仿宋" w:cs="仿宋_GB2312"/>
                <w:sz w:val="21"/>
                <w:szCs w:val="21"/>
                <w:lang w:val="zh-CN"/>
              </w:rPr>
            </w:pPr>
          </w:p>
        </w:tc>
        <w:tc>
          <w:tcPr>
            <w:tcW w:w="4393" w:type="dxa"/>
            <w:noWrap w:val="0"/>
            <w:vAlign w:val="center"/>
          </w:tcPr>
          <w:p>
            <w:pPr>
              <w:spacing w:line="240" w:lineRule="exact"/>
              <w:rPr>
                <w:rFonts w:hint="eastAsia" w:ascii="仿宋" w:hAnsi="仿宋" w:eastAsia="仿宋" w:cs="仿宋_GB2312"/>
                <w:sz w:val="21"/>
                <w:szCs w:val="21"/>
                <w:lang w:val="zh-CN"/>
              </w:rPr>
            </w:pPr>
            <w:r>
              <w:rPr>
                <w:rFonts w:hint="eastAsia" w:ascii="仿宋" w:hAnsi="仿宋" w:eastAsia="仿宋"/>
                <w:sz w:val="21"/>
                <w:szCs w:val="21"/>
              </w:rPr>
              <w:t>（5）参加政府采购活动前三年内，在经营活动中没有重大违法记录（注</w:t>
            </w:r>
            <w:r>
              <w:rPr>
                <w:rFonts w:ascii="仿宋" w:hAnsi="仿宋" w:eastAsia="仿宋"/>
                <w:sz w:val="21"/>
                <w:szCs w:val="21"/>
              </w:rPr>
              <w:fldChar w:fldCharType="begin"/>
            </w:r>
            <w:r>
              <w:rPr>
                <w:rFonts w:ascii="仿宋" w:hAnsi="仿宋" w:eastAsia="仿宋"/>
                <w:sz w:val="21"/>
                <w:szCs w:val="21"/>
              </w:rPr>
              <w:instrText xml:space="preserve"> </w:instrText>
            </w:r>
            <w:r>
              <w:rPr>
                <w:rFonts w:hint="eastAsia" w:ascii="仿宋" w:hAnsi="仿宋" w:eastAsia="仿宋"/>
                <w:sz w:val="21"/>
                <w:szCs w:val="21"/>
              </w:rPr>
              <w:instrText xml:space="preserve">eq \o\ac(○,</w:instrText>
            </w:r>
            <w:r>
              <w:rPr>
                <w:rFonts w:hint="eastAsia" w:ascii="仿宋" w:hAnsi="仿宋" w:eastAsia="仿宋"/>
                <w:position w:val="2"/>
                <w:sz w:val="14"/>
                <w:szCs w:val="21"/>
              </w:rPr>
              <w:instrText xml:space="preserve">3</w:instrText>
            </w:r>
            <w:r>
              <w:rPr>
                <w:rFonts w:hint="eastAsia" w:ascii="仿宋" w:hAnsi="仿宋" w:eastAsia="仿宋"/>
                <w:sz w:val="21"/>
                <w:szCs w:val="21"/>
              </w:rPr>
              <w:instrText xml:space="preserve">)</w:instrText>
            </w:r>
            <w:r>
              <w:rPr>
                <w:rFonts w:ascii="仿宋" w:hAnsi="仿宋" w:eastAsia="仿宋"/>
                <w:sz w:val="21"/>
                <w:szCs w:val="21"/>
              </w:rPr>
              <w:fldChar w:fldCharType="end"/>
            </w:r>
            <w:r>
              <w:rPr>
                <w:rFonts w:hint="eastAsia" w:ascii="仿宋" w:hAnsi="仿宋" w:eastAsia="仿宋"/>
                <w:sz w:val="21"/>
                <w:szCs w:val="21"/>
              </w:rPr>
              <w:t>）</w:t>
            </w:r>
          </w:p>
        </w:tc>
        <w:tc>
          <w:tcPr>
            <w:tcW w:w="3850" w:type="dxa"/>
            <w:noWrap w:val="0"/>
            <w:vAlign w:val="center"/>
          </w:tcPr>
          <w:p>
            <w:pPr>
              <w:spacing w:line="240" w:lineRule="exact"/>
              <w:rPr>
                <w:rFonts w:hint="eastAsia" w:ascii="仿宋" w:hAnsi="仿宋" w:eastAsia="仿宋"/>
                <w:sz w:val="21"/>
                <w:szCs w:val="21"/>
              </w:rPr>
            </w:pPr>
            <w:r>
              <w:rPr>
                <w:rFonts w:hint="eastAsia" w:ascii="仿宋" w:hAnsi="仿宋" w:eastAsia="仿宋"/>
                <w:sz w:val="21"/>
                <w:szCs w:val="21"/>
              </w:rPr>
              <w:t>1.投标人提供书面声明（见格式文件）；</w:t>
            </w:r>
          </w:p>
          <w:p>
            <w:pPr>
              <w:spacing w:line="240" w:lineRule="exact"/>
              <w:rPr>
                <w:rFonts w:hint="eastAsia" w:ascii="仿宋" w:hAnsi="仿宋" w:eastAsia="仿宋"/>
                <w:b/>
                <w:sz w:val="21"/>
                <w:szCs w:val="21"/>
              </w:rPr>
            </w:pPr>
            <w:r>
              <w:rPr>
                <w:rFonts w:hint="eastAsia" w:ascii="仿宋" w:hAnsi="仿宋" w:eastAsia="仿宋"/>
                <w:sz w:val="21"/>
                <w:szCs w:val="21"/>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76" w:type="dxa"/>
            <w:vMerge w:val="continue"/>
            <w:noWrap w:val="0"/>
            <w:vAlign w:val="center"/>
          </w:tcPr>
          <w:p>
            <w:pPr>
              <w:spacing w:line="240" w:lineRule="exact"/>
              <w:jc w:val="center"/>
              <w:rPr>
                <w:rFonts w:hint="eastAsia" w:ascii="仿宋" w:hAnsi="仿宋" w:eastAsia="仿宋"/>
                <w:sz w:val="21"/>
                <w:szCs w:val="21"/>
              </w:rPr>
            </w:pPr>
          </w:p>
        </w:tc>
        <w:tc>
          <w:tcPr>
            <w:tcW w:w="709" w:type="dxa"/>
            <w:vMerge w:val="continue"/>
            <w:noWrap w:val="0"/>
            <w:vAlign w:val="center"/>
          </w:tcPr>
          <w:p>
            <w:pPr>
              <w:spacing w:line="240" w:lineRule="exact"/>
              <w:rPr>
                <w:rFonts w:hint="eastAsia" w:ascii="仿宋" w:hAnsi="仿宋" w:eastAsia="仿宋" w:cs="仿宋_GB2312"/>
                <w:sz w:val="21"/>
                <w:szCs w:val="21"/>
              </w:rPr>
            </w:pPr>
          </w:p>
        </w:tc>
        <w:tc>
          <w:tcPr>
            <w:tcW w:w="4393" w:type="dxa"/>
            <w:noWrap w:val="0"/>
            <w:vAlign w:val="center"/>
          </w:tcPr>
          <w:p>
            <w:pPr>
              <w:spacing w:line="240" w:lineRule="exact"/>
              <w:rPr>
                <w:rFonts w:hint="eastAsia" w:ascii="仿宋" w:hAnsi="仿宋" w:eastAsia="仿宋"/>
                <w:sz w:val="21"/>
                <w:szCs w:val="21"/>
              </w:rPr>
            </w:pPr>
            <w:r>
              <w:rPr>
                <w:rFonts w:hint="eastAsia" w:ascii="仿宋" w:hAnsi="仿宋" w:eastAsia="仿宋"/>
                <w:sz w:val="21"/>
                <w:szCs w:val="21"/>
              </w:rPr>
              <w:t>（6）法律、行政法规规定的其他条件</w:t>
            </w:r>
          </w:p>
        </w:tc>
        <w:tc>
          <w:tcPr>
            <w:tcW w:w="3850" w:type="dxa"/>
            <w:noWrap w:val="0"/>
            <w:vAlign w:val="center"/>
          </w:tcPr>
          <w:p>
            <w:pPr>
              <w:spacing w:line="240" w:lineRule="exact"/>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2</w:t>
            </w:r>
          </w:p>
        </w:tc>
        <w:tc>
          <w:tcPr>
            <w:tcW w:w="5102" w:type="dxa"/>
            <w:gridSpan w:val="2"/>
            <w:noWrap w:val="0"/>
            <w:vAlign w:val="center"/>
          </w:tcPr>
          <w:p>
            <w:pPr>
              <w:spacing w:line="240" w:lineRule="exact"/>
              <w:rPr>
                <w:rFonts w:hint="eastAsia" w:ascii="仿宋" w:hAnsi="仿宋" w:eastAsia="仿宋"/>
                <w:sz w:val="21"/>
                <w:szCs w:val="21"/>
              </w:rPr>
            </w:pPr>
            <w:r>
              <w:rPr>
                <w:rFonts w:hint="eastAsia" w:ascii="仿宋" w:hAnsi="仿宋" w:eastAsia="仿宋"/>
                <w:sz w:val="21"/>
                <w:szCs w:val="21"/>
              </w:rPr>
              <w:t>特定资格条件</w:t>
            </w:r>
          </w:p>
        </w:tc>
        <w:tc>
          <w:tcPr>
            <w:tcW w:w="3850" w:type="dxa"/>
            <w:noWrap w:val="0"/>
            <w:vAlign w:val="center"/>
          </w:tcPr>
          <w:p>
            <w:pPr>
              <w:spacing w:line="240" w:lineRule="exact"/>
              <w:rPr>
                <w:rFonts w:hint="eastAsia" w:ascii="仿宋" w:hAnsi="仿宋" w:eastAsia="仿宋"/>
                <w:sz w:val="21"/>
                <w:szCs w:val="21"/>
              </w:rPr>
            </w:pPr>
            <w:r>
              <w:rPr>
                <w:rFonts w:hint="eastAsia" w:ascii="仿宋" w:hAnsi="仿宋" w:eastAsia="仿宋"/>
                <w:sz w:val="21"/>
                <w:szCs w:val="21"/>
              </w:rPr>
              <w:t>按第一篇“三、投标人资格要求（二）特定资格条件”的要求提交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76" w:type="dxa"/>
            <w:noWrap w:val="0"/>
            <w:vAlign w:val="center"/>
          </w:tcPr>
          <w:p>
            <w:pPr>
              <w:spacing w:line="240" w:lineRule="exact"/>
              <w:jc w:val="center"/>
              <w:rPr>
                <w:rFonts w:hint="eastAsia" w:ascii="仿宋" w:hAnsi="仿宋" w:eastAsia="仿宋"/>
                <w:sz w:val="21"/>
                <w:szCs w:val="21"/>
              </w:rPr>
            </w:pPr>
            <w:r>
              <w:rPr>
                <w:rFonts w:hint="eastAsia" w:ascii="仿宋" w:hAnsi="仿宋" w:eastAsia="仿宋"/>
                <w:sz w:val="21"/>
                <w:szCs w:val="21"/>
              </w:rPr>
              <w:t>3</w:t>
            </w:r>
          </w:p>
        </w:tc>
        <w:tc>
          <w:tcPr>
            <w:tcW w:w="5102" w:type="dxa"/>
            <w:gridSpan w:val="2"/>
            <w:noWrap w:val="0"/>
            <w:vAlign w:val="center"/>
          </w:tcPr>
          <w:p>
            <w:pPr>
              <w:spacing w:line="240" w:lineRule="exact"/>
              <w:rPr>
                <w:rFonts w:hint="eastAsia" w:ascii="仿宋" w:hAnsi="仿宋" w:eastAsia="仿宋"/>
                <w:sz w:val="21"/>
                <w:szCs w:val="21"/>
              </w:rPr>
            </w:pPr>
            <w:r>
              <w:rPr>
                <w:rFonts w:hint="eastAsia" w:ascii="仿宋" w:hAnsi="仿宋" w:eastAsia="仿宋"/>
                <w:sz w:val="21"/>
                <w:szCs w:val="21"/>
              </w:rPr>
              <w:t>投标保证金</w:t>
            </w:r>
          </w:p>
        </w:tc>
        <w:tc>
          <w:tcPr>
            <w:tcW w:w="3850" w:type="dxa"/>
            <w:noWrap w:val="0"/>
            <w:vAlign w:val="center"/>
          </w:tcPr>
          <w:p>
            <w:pPr>
              <w:spacing w:line="240" w:lineRule="exact"/>
              <w:rPr>
                <w:rFonts w:hint="eastAsia" w:ascii="仿宋" w:hAnsi="仿宋" w:eastAsia="仿宋"/>
                <w:sz w:val="21"/>
                <w:szCs w:val="21"/>
              </w:rPr>
            </w:pPr>
            <w:r>
              <w:rPr>
                <w:rFonts w:hint="eastAsia" w:ascii="仿宋" w:hAnsi="仿宋" w:eastAsia="仿宋"/>
                <w:sz w:val="21"/>
                <w:szCs w:val="21"/>
              </w:rPr>
              <w:t>按照招标文件的规定提交投标保证金</w:t>
            </w:r>
          </w:p>
        </w:tc>
      </w:tr>
    </w:tbl>
    <w:p>
      <w:pPr>
        <w:snapToGrid w:val="0"/>
        <w:spacing w:line="400" w:lineRule="exact"/>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t>注：</w:t>
      </w:r>
    </w:p>
    <w:p>
      <w:pPr>
        <w:snapToGrid w:val="0"/>
        <w:spacing w:line="400" w:lineRule="exact"/>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fldChar w:fldCharType="begin"/>
      </w:r>
      <w:r>
        <w:rPr>
          <w:rFonts w:hint="eastAsia" w:ascii="仿宋" w:hAnsi="仿宋" w:eastAsia="仿宋" w:cs="宋体"/>
          <w:kern w:val="0"/>
          <w:sz w:val="24"/>
          <w:szCs w:val="24"/>
        </w:rPr>
        <w:instrText xml:space="preserve"> eq \o\ac(○,1)</w:instrTex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投标人营业执照、税务登记证、组织机构代码证或加载统一社会信用代码的三证合一营业执照（副本）复印件为准。</w:t>
      </w:r>
    </w:p>
    <w:p>
      <w:pPr>
        <w:snapToGrid w:val="0"/>
        <w:spacing w:line="400" w:lineRule="exact"/>
        <w:ind w:firstLine="480" w:firstLineChars="200"/>
        <w:rPr>
          <w:rFonts w:hint="eastAsia" w:ascii="仿宋" w:hAnsi="仿宋" w:eastAsia="仿宋" w:cs="宋体"/>
          <w:kern w:val="0"/>
          <w:sz w:val="24"/>
          <w:szCs w:val="24"/>
        </w:rPr>
      </w:pPr>
      <w:r>
        <w:rPr>
          <w:rFonts w:ascii="仿宋" w:hAnsi="仿宋" w:eastAsia="仿宋" w:cs="宋体"/>
          <w:kern w:val="0"/>
          <w:sz w:val="24"/>
          <w:szCs w:val="24"/>
        </w:rPr>
        <w:fldChar w:fldCharType="begin"/>
      </w:r>
      <w:r>
        <w:rPr>
          <w:rFonts w:ascii="仿宋" w:hAnsi="仿宋" w:eastAsia="仿宋" w:cs="宋体"/>
          <w:kern w:val="0"/>
          <w:sz w:val="24"/>
          <w:szCs w:val="24"/>
        </w:rPr>
        <w:instrText xml:space="preserve"> </w:instrText>
      </w:r>
      <w:r>
        <w:rPr>
          <w:rFonts w:hint="eastAsia" w:ascii="仿宋" w:hAnsi="仿宋" w:eastAsia="仿宋" w:cs="宋体"/>
          <w:kern w:val="0"/>
          <w:sz w:val="24"/>
          <w:szCs w:val="24"/>
        </w:rPr>
        <w:instrText xml:space="preserve">eq \o\ac(○,</w:instrText>
      </w:r>
      <w:r>
        <w:rPr>
          <w:rFonts w:hint="eastAsia" w:ascii="仿宋" w:hAnsi="仿宋" w:eastAsia="仿宋" w:cs="宋体"/>
          <w:kern w:val="0"/>
          <w:position w:val="3"/>
          <w:sz w:val="16"/>
          <w:szCs w:val="24"/>
        </w:rPr>
        <w:instrText xml:space="preserve">2</w:instrText>
      </w:r>
      <w:r>
        <w:rPr>
          <w:rFonts w:hint="eastAsia" w:ascii="仿宋" w:hAnsi="仿宋" w:eastAsia="仿宋" w:cs="宋体"/>
          <w:kern w:val="0"/>
          <w:sz w:val="24"/>
          <w:szCs w:val="24"/>
        </w:rPr>
        <w:instrText xml:space="preserve">)</w:instrText>
      </w:r>
      <w:r>
        <w:rPr>
          <w:rFonts w:ascii="仿宋" w:hAnsi="仿宋" w:eastAsia="仿宋" w:cs="宋体"/>
          <w:kern w:val="0"/>
          <w:sz w:val="24"/>
          <w:szCs w:val="24"/>
        </w:rPr>
        <w:fldChar w:fldCharType="end"/>
      </w:r>
      <w:r>
        <w:rPr>
          <w:rFonts w:hint="eastAsia" w:ascii="仿宋" w:hAnsi="仿宋" w:eastAsia="仿宋" w:cs="宋体"/>
          <w:kern w:val="0"/>
          <w:sz w:val="24"/>
          <w:szCs w:val="24"/>
        </w:rPr>
        <w:t>根据《</w:t>
      </w:r>
      <w:r>
        <w:rPr>
          <w:rFonts w:ascii="仿宋" w:hAnsi="仿宋" w:eastAsia="仿宋" w:cs="宋体"/>
          <w:kern w:val="0"/>
          <w:sz w:val="24"/>
          <w:szCs w:val="24"/>
        </w:rPr>
        <w:t>中华人民共和国政府采购法实施条例</w:t>
      </w:r>
      <w:r>
        <w:rPr>
          <w:rFonts w:hint="eastAsia" w:ascii="仿宋" w:hAnsi="仿宋" w:eastAsia="仿宋" w:cs="宋体"/>
          <w:kern w:val="0"/>
          <w:sz w:val="24"/>
          <w:szCs w:val="24"/>
        </w:rPr>
        <w:t>》第十九条“参加政府采购活动前三年内，在经营活动中没有重大违法记录”中“重大违法记录”</w:t>
      </w:r>
      <w:r>
        <w:rPr>
          <w:rFonts w:ascii="仿宋" w:hAnsi="仿宋" w:eastAsia="仿宋" w:cs="宋体"/>
          <w:kern w:val="0"/>
          <w:sz w:val="24"/>
          <w:szCs w:val="24"/>
        </w:rPr>
        <w:t>，是指投标人因违法经营受到刑事处罚或者责令停产停业、吊销许可证或者执照、较大数额罚款等行政处罚。</w:t>
      </w:r>
      <w:r>
        <w:rPr>
          <w:rFonts w:hint="eastAsia" w:ascii="仿宋" w:hAnsi="仿宋" w:eastAsia="仿宋" w:cs="宋体"/>
          <w:kern w:val="0"/>
          <w:sz w:val="24"/>
          <w:szCs w:val="24"/>
        </w:rPr>
        <w:t>行政处罚中“较大数额”的认定标准，由被执行人所在的省、自治区、直辖市人民政府制定，国务院有关部门规定了较大数额标准的，从其规定。</w:t>
      </w:r>
    </w:p>
    <w:p>
      <w:pPr>
        <w:snapToGrid w:val="0"/>
        <w:spacing w:line="400" w:lineRule="exact"/>
        <w:ind w:firstLine="480" w:firstLineChars="200"/>
        <w:rPr>
          <w:rFonts w:hint="eastAsia" w:ascii="仿宋" w:hAnsi="仿宋" w:eastAsia="仿宋" w:cs="仿宋"/>
          <w:kern w:val="0"/>
          <w:sz w:val="24"/>
          <w:szCs w:val="24"/>
        </w:rPr>
      </w:pPr>
      <w:bookmarkStart w:id="25" w:name="_Toc8294"/>
      <w:r>
        <w:rPr>
          <w:rFonts w:hint="eastAsia" w:ascii="仿宋" w:hAnsi="仿宋" w:eastAsia="仿宋" w:cs="仿宋"/>
          <w:kern w:val="0"/>
          <w:sz w:val="24"/>
          <w:szCs w:val="24"/>
        </w:rPr>
        <w:t>二、评标方法</w:t>
      </w:r>
      <w:bookmarkEnd w:id="25"/>
    </w:p>
    <w:p>
      <w:pPr>
        <w:snapToGrid w:val="0"/>
        <w:spacing w:line="4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本项目采用综合评分法进行评标。</w:t>
      </w:r>
    </w:p>
    <w:p>
      <w:pPr>
        <w:snapToGrid w:val="0"/>
        <w:spacing w:line="4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综合评分法，是指投标文件满足招标文件全部实质性要求且按照评审因素的量化指标评审得分最高的投标人为中标候选人的评标方法。投标人总得分为价格、技术等评定因素分别按照相应权重值计算分项得分后相加，满分为100分。</w:t>
      </w:r>
    </w:p>
    <w:p>
      <w:pPr>
        <w:snapToGrid w:val="0"/>
        <w:spacing w:line="4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评标工作由采购代理机构负责组织，具体评标事务由采购代理机构依法组建的评标委员会负责。评标委员会由3人组成，全部3人按相关规定随机抽取。评标委员会成员到位后，推举其中一位评审专家担任评审组长，并由评审组长牵头组织该项目评审工作。评标委员会按以下程序独立履行评审职责：</w:t>
      </w:r>
    </w:p>
    <w:p>
      <w:pPr>
        <w:snapToGrid w:val="0"/>
        <w:spacing w:line="400" w:lineRule="exact"/>
        <w:ind w:firstLine="480" w:firstLineChars="200"/>
        <w:rPr>
          <w:rFonts w:hint="eastAsia" w:ascii="仿宋" w:hAnsi="仿宋" w:eastAsia="仿宋" w:cs="宋体"/>
          <w:kern w:val="0"/>
          <w:sz w:val="24"/>
          <w:szCs w:val="24"/>
        </w:rPr>
      </w:pPr>
      <w:r>
        <w:rPr>
          <w:rFonts w:hint="eastAsia" w:ascii="仿宋" w:hAnsi="仿宋" w:eastAsia="仿宋" w:cs="宋体"/>
          <w:kern w:val="0"/>
          <w:sz w:val="24"/>
          <w:szCs w:val="24"/>
        </w:rPr>
        <w:t>（一）符合性审查</w:t>
      </w:r>
    </w:p>
    <w:p>
      <w:pPr>
        <w:snapToGrid w:val="0"/>
        <w:spacing w:line="400" w:lineRule="exact"/>
        <w:ind w:firstLine="480" w:firstLineChars="200"/>
        <w:rPr>
          <w:rFonts w:hint="eastAsia" w:ascii="仿宋" w:hAnsi="仿宋" w:eastAsia="仿宋"/>
          <w:kern w:val="0"/>
          <w:sz w:val="24"/>
          <w:szCs w:val="24"/>
        </w:rPr>
      </w:pPr>
      <w:r>
        <w:rPr>
          <w:rFonts w:hint="eastAsia" w:ascii="仿宋" w:hAnsi="仿宋" w:eastAsia="仿宋" w:cs="宋体"/>
          <w:kern w:val="0"/>
          <w:sz w:val="24"/>
          <w:szCs w:val="24"/>
        </w:rPr>
        <w:t>评标委员会应当对符合资格的投标人的投标文件进行符合性审查，以确定其是否满足招标文件的实质性要求。</w:t>
      </w:r>
      <w:r>
        <w:rPr>
          <w:rFonts w:hint="eastAsia" w:ascii="仿宋" w:hAnsi="仿宋" w:eastAsia="仿宋"/>
          <w:kern w:val="0"/>
          <w:sz w:val="24"/>
          <w:szCs w:val="24"/>
        </w:rPr>
        <w:t>符合性审查资料表如下：</w:t>
      </w:r>
    </w:p>
    <w:tbl>
      <w:tblPr>
        <w:tblStyle w:val="57"/>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pPr>
              <w:spacing w:line="240" w:lineRule="exact"/>
              <w:jc w:val="center"/>
              <w:rPr>
                <w:rFonts w:hint="eastAsia" w:ascii="仿宋" w:hAnsi="仿宋" w:eastAsia="仿宋" w:cs="宋体"/>
                <w:b/>
                <w:kern w:val="0"/>
                <w:sz w:val="21"/>
                <w:szCs w:val="21"/>
              </w:rPr>
            </w:pPr>
            <w:r>
              <w:rPr>
                <w:rFonts w:hint="eastAsia" w:ascii="仿宋" w:hAnsi="仿宋" w:eastAsia="仿宋" w:cs="宋体"/>
                <w:b/>
                <w:kern w:val="0"/>
                <w:sz w:val="21"/>
                <w:szCs w:val="21"/>
              </w:rPr>
              <w:t>序号</w:t>
            </w:r>
          </w:p>
        </w:tc>
        <w:tc>
          <w:tcPr>
            <w:tcW w:w="3546" w:type="dxa"/>
            <w:gridSpan w:val="2"/>
            <w:noWrap w:val="0"/>
            <w:vAlign w:val="center"/>
          </w:tcPr>
          <w:p>
            <w:pPr>
              <w:spacing w:line="240" w:lineRule="exact"/>
              <w:jc w:val="center"/>
              <w:rPr>
                <w:rFonts w:hint="eastAsia" w:ascii="仿宋" w:hAnsi="仿宋" w:eastAsia="仿宋" w:cs="宋体"/>
                <w:b/>
                <w:kern w:val="0"/>
                <w:sz w:val="21"/>
                <w:szCs w:val="21"/>
              </w:rPr>
            </w:pPr>
            <w:r>
              <w:rPr>
                <w:rFonts w:hint="eastAsia" w:ascii="仿宋" w:hAnsi="仿宋" w:eastAsia="仿宋" w:cs="宋体"/>
                <w:b/>
                <w:kern w:val="0"/>
                <w:sz w:val="21"/>
                <w:szCs w:val="21"/>
              </w:rPr>
              <w:t>评审因素</w:t>
            </w:r>
          </w:p>
        </w:tc>
        <w:tc>
          <w:tcPr>
            <w:tcW w:w="5409" w:type="dxa"/>
            <w:noWrap w:val="0"/>
            <w:vAlign w:val="center"/>
          </w:tcPr>
          <w:p>
            <w:pPr>
              <w:spacing w:line="240" w:lineRule="exact"/>
              <w:jc w:val="center"/>
              <w:rPr>
                <w:rFonts w:hint="eastAsia" w:ascii="仿宋" w:hAnsi="仿宋" w:eastAsia="仿宋" w:cs="宋体"/>
                <w:b/>
                <w:kern w:val="0"/>
                <w:sz w:val="21"/>
                <w:szCs w:val="21"/>
              </w:rPr>
            </w:pPr>
            <w:r>
              <w:rPr>
                <w:rFonts w:hint="eastAsia" w:ascii="仿宋" w:hAnsi="仿宋" w:eastAsia="仿宋"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5" w:type="dxa"/>
            <w:vMerge w:val="restart"/>
            <w:noWrap w:val="0"/>
            <w:vAlign w:val="center"/>
          </w:tcPr>
          <w:p>
            <w:pPr>
              <w:spacing w:line="240" w:lineRule="exact"/>
              <w:jc w:val="center"/>
              <w:rPr>
                <w:rFonts w:hint="eastAsia" w:ascii="仿宋" w:hAnsi="仿宋" w:eastAsia="仿宋" w:cs="宋体"/>
                <w:kern w:val="0"/>
                <w:sz w:val="21"/>
                <w:szCs w:val="21"/>
              </w:rPr>
            </w:pPr>
            <w:r>
              <w:rPr>
                <w:rFonts w:hint="eastAsia" w:ascii="仿宋" w:hAnsi="仿宋" w:eastAsia="仿宋" w:cs="宋体"/>
                <w:kern w:val="0"/>
                <w:sz w:val="21"/>
                <w:szCs w:val="21"/>
              </w:rPr>
              <w:t>1</w:t>
            </w:r>
          </w:p>
        </w:tc>
        <w:tc>
          <w:tcPr>
            <w:tcW w:w="1562" w:type="dxa"/>
            <w:vMerge w:val="restart"/>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有效性审查</w:t>
            </w:r>
          </w:p>
        </w:tc>
        <w:tc>
          <w:tcPr>
            <w:tcW w:w="1984"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sz w:val="21"/>
                <w:szCs w:val="21"/>
              </w:rPr>
              <w:t>投标文件签署</w:t>
            </w:r>
          </w:p>
        </w:tc>
        <w:tc>
          <w:tcPr>
            <w:tcW w:w="5409"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sz w:val="21"/>
                <w:szCs w:val="21"/>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noWrap w:val="0"/>
            <w:vAlign w:val="center"/>
          </w:tcPr>
          <w:p>
            <w:pPr>
              <w:spacing w:line="240" w:lineRule="exact"/>
              <w:jc w:val="center"/>
              <w:rPr>
                <w:rFonts w:hint="eastAsia" w:ascii="仿宋" w:hAnsi="仿宋" w:eastAsia="仿宋" w:cs="宋体"/>
                <w:kern w:val="0"/>
                <w:sz w:val="21"/>
                <w:szCs w:val="21"/>
              </w:rPr>
            </w:pPr>
          </w:p>
        </w:tc>
        <w:tc>
          <w:tcPr>
            <w:tcW w:w="1562" w:type="dxa"/>
            <w:vMerge w:val="continue"/>
            <w:noWrap w:val="0"/>
            <w:vAlign w:val="center"/>
          </w:tcPr>
          <w:p>
            <w:pPr>
              <w:spacing w:line="240" w:lineRule="exact"/>
              <w:rPr>
                <w:rFonts w:hint="eastAsia" w:ascii="仿宋" w:hAnsi="仿宋" w:eastAsia="仿宋" w:cs="宋体"/>
                <w:kern w:val="0"/>
                <w:sz w:val="21"/>
                <w:szCs w:val="21"/>
              </w:rPr>
            </w:pPr>
          </w:p>
        </w:tc>
        <w:tc>
          <w:tcPr>
            <w:tcW w:w="1984" w:type="dxa"/>
            <w:noWrap w:val="0"/>
            <w:vAlign w:val="center"/>
          </w:tcPr>
          <w:p>
            <w:pPr>
              <w:spacing w:line="240" w:lineRule="exact"/>
              <w:rPr>
                <w:rFonts w:hint="eastAsia" w:ascii="仿宋" w:hAnsi="仿宋" w:eastAsia="仿宋" w:cs="仿宋_GB2312"/>
                <w:sz w:val="21"/>
                <w:szCs w:val="21"/>
                <w:lang w:val="zh-CN"/>
              </w:rPr>
            </w:pPr>
            <w:r>
              <w:rPr>
                <w:rFonts w:hint="eastAsia" w:ascii="仿宋" w:hAnsi="仿宋" w:eastAsia="仿宋" w:cs="仿宋_GB2312"/>
                <w:sz w:val="21"/>
                <w:szCs w:val="21"/>
                <w:lang w:val="zh-CN"/>
              </w:rPr>
              <w:t>投标方案</w:t>
            </w:r>
          </w:p>
        </w:tc>
        <w:tc>
          <w:tcPr>
            <w:tcW w:w="5409"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仿宋_GB2312"/>
                <w:sz w:val="21"/>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noWrap w:val="0"/>
            <w:vAlign w:val="center"/>
          </w:tcPr>
          <w:p>
            <w:pPr>
              <w:spacing w:line="240" w:lineRule="exact"/>
              <w:jc w:val="center"/>
              <w:rPr>
                <w:rFonts w:hint="eastAsia" w:ascii="仿宋" w:hAnsi="仿宋" w:eastAsia="仿宋" w:cs="宋体"/>
                <w:kern w:val="0"/>
                <w:sz w:val="21"/>
                <w:szCs w:val="21"/>
              </w:rPr>
            </w:pPr>
          </w:p>
        </w:tc>
        <w:tc>
          <w:tcPr>
            <w:tcW w:w="1562" w:type="dxa"/>
            <w:vMerge w:val="continue"/>
            <w:noWrap w:val="0"/>
            <w:vAlign w:val="center"/>
          </w:tcPr>
          <w:p>
            <w:pPr>
              <w:spacing w:line="240" w:lineRule="exact"/>
              <w:rPr>
                <w:rFonts w:hint="eastAsia" w:ascii="仿宋" w:hAnsi="仿宋" w:eastAsia="仿宋" w:cs="宋体"/>
                <w:kern w:val="0"/>
                <w:sz w:val="21"/>
                <w:szCs w:val="21"/>
              </w:rPr>
            </w:pPr>
          </w:p>
        </w:tc>
        <w:tc>
          <w:tcPr>
            <w:tcW w:w="1984" w:type="dxa"/>
            <w:noWrap w:val="0"/>
            <w:vAlign w:val="center"/>
          </w:tcPr>
          <w:p>
            <w:pPr>
              <w:spacing w:line="240" w:lineRule="exact"/>
              <w:rPr>
                <w:rFonts w:hint="eastAsia" w:ascii="仿宋" w:hAnsi="仿宋" w:eastAsia="仿宋" w:cs="仿宋_GB2312"/>
                <w:sz w:val="21"/>
                <w:szCs w:val="21"/>
                <w:lang w:val="zh-CN"/>
              </w:rPr>
            </w:pPr>
            <w:r>
              <w:rPr>
                <w:rFonts w:hint="eastAsia" w:ascii="仿宋" w:hAnsi="仿宋" w:eastAsia="仿宋"/>
                <w:sz w:val="21"/>
                <w:szCs w:val="21"/>
              </w:rPr>
              <w:t>报价唯一</w:t>
            </w:r>
          </w:p>
        </w:tc>
        <w:tc>
          <w:tcPr>
            <w:tcW w:w="5409"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仿宋_GB2312"/>
                <w:sz w:val="21"/>
                <w:szCs w:val="21"/>
                <w:lang w:val="zh-CN"/>
              </w:rPr>
              <w:t>只能在预算金额和最高限价内报价，</w:t>
            </w:r>
            <w:r>
              <w:rPr>
                <w:rFonts w:hint="eastAsia" w:ascii="仿宋" w:hAnsi="仿宋" w:eastAsia="仿宋"/>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noWrap w:val="0"/>
            <w:vAlign w:val="center"/>
          </w:tcPr>
          <w:p>
            <w:pPr>
              <w:spacing w:line="240" w:lineRule="exact"/>
              <w:jc w:val="center"/>
              <w:rPr>
                <w:rFonts w:hint="eastAsia" w:ascii="仿宋" w:hAnsi="仿宋" w:eastAsia="仿宋" w:cs="宋体"/>
                <w:kern w:val="0"/>
                <w:sz w:val="21"/>
                <w:szCs w:val="21"/>
              </w:rPr>
            </w:pPr>
            <w:r>
              <w:rPr>
                <w:rFonts w:hint="eastAsia" w:ascii="仿宋" w:hAnsi="仿宋" w:eastAsia="仿宋" w:cs="宋体"/>
                <w:kern w:val="0"/>
                <w:sz w:val="21"/>
                <w:szCs w:val="21"/>
              </w:rPr>
              <w:t>2</w:t>
            </w:r>
          </w:p>
        </w:tc>
        <w:tc>
          <w:tcPr>
            <w:tcW w:w="1562"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完整性审查</w:t>
            </w:r>
          </w:p>
        </w:tc>
        <w:tc>
          <w:tcPr>
            <w:tcW w:w="1984"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仿宋_GB2312"/>
                <w:sz w:val="21"/>
                <w:szCs w:val="21"/>
                <w:lang w:val="zh-CN"/>
              </w:rPr>
              <w:t>投标文件份数</w:t>
            </w:r>
          </w:p>
        </w:tc>
        <w:tc>
          <w:tcPr>
            <w:tcW w:w="5409"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仿宋_GB2312"/>
                <w:sz w:val="21"/>
                <w:szCs w:val="21"/>
                <w:lang w:val="zh-CN"/>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noWrap w:val="0"/>
            <w:vAlign w:val="center"/>
          </w:tcPr>
          <w:p>
            <w:pPr>
              <w:spacing w:line="240" w:lineRule="exact"/>
              <w:jc w:val="center"/>
              <w:rPr>
                <w:rFonts w:hint="eastAsia" w:ascii="仿宋" w:hAnsi="仿宋" w:eastAsia="仿宋" w:cs="宋体"/>
                <w:kern w:val="0"/>
                <w:sz w:val="21"/>
                <w:szCs w:val="21"/>
              </w:rPr>
            </w:pPr>
            <w:r>
              <w:rPr>
                <w:rFonts w:hint="eastAsia" w:ascii="仿宋" w:hAnsi="仿宋" w:eastAsia="仿宋" w:cs="宋体"/>
                <w:kern w:val="0"/>
                <w:sz w:val="21"/>
                <w:szCs w:val="21"/>
              </w:rPr>
              <w:t>3</w:t>
            </w:r>
          </w:p>
        </w:tc>
        <w:tc>
          <w:tcPr>
            <w:tcW w:w="1562"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技术部分</w:t>
            </w:r>
          </w:p>
        </w:tc>
        <w:tc>
          <w:tcPr>
            <w:tcW w:w="1984"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投标文件内容</w:t>
            </w:r>
          </w:p>
        </w:tc>
        <w:tc>
          <w:tcPr>
            <w:tcW w:w="5409"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本招标文件第二篇规定的招标内容作出响应（满足与否）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75" w:type="dxa"/>
            <w:noWrap w:val="0"/>
            <w:vAlign w:val="center"/>
          </w:tcPr>
          <w:p>
            <w:pPr>
              <w:spacing w:line="240" w:lineRule="exact"/>
              <w:jc w:val="center"/>
              <w:rPr>
                <w:rFonts w:hint="eastAsia" w:ascii="仿宋" w:hAnsi="仿宋" w:eastAsia="仿宋" w:cs="宋体"/>
                <w:kern w:val="0"/>
                <w:sz w:val="21"/>
                <w:szCs w:val="21"/>
              </w:rPr>
            </w:pPr>
            <w:r>
              <w:rPr>
                <w:rFonts w:hint="eastAsia" w:ascii="仿宋" w:hAnsi="仿宋" w:eastAsia="仿宋" w:cs="宋体"/>
                <w:kern w:val="0"/>
                <w:sz w:val="21"/>
                <w:szCs w:val="21"/>
              </w:rPr>
              <w:t>4</w:t>
            </w:r>
          </w:p>
        </w:tc>
        <w:tc>
          <w:tcPr>
            <w:tcW w:w="1562"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商务部分</w:t>
            </w:r>
          </w:p>
        </w:tc>
        <w:tc>
          <w:tcPr>
            <w:tcW w:w="1984"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投标文件内容</w:t>
            </w:r>
          </w:p>
        </w:tc>
        <w:tc>
          <w:tcPr>
            <w:tcW w:w="5409"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本招标文件第三篇规定的招标内容作出响应（满足或者优于商务要求）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75" w:type="dxa"/>
            <w:noWrap w:val="0"/>
            <w:vAlign w:val="center"/>
          </w:tcPr>
          <w:p>
            <w:pPr>
              <w:spacing w:line="240" w:lineRule="exact"/>
              <w:jc w:val="center"/>
              <w:rPr>
                <w:rFonts w:hint="eastAsia" w:ascii="仿宋" w:hAnsi="仿宋" w:eastAsia="仿宋" w:cs="宋体"/>
                <w:kern w:val="0"/>
                <w:sz w:val="21"/>
                <w:szCs w:val="21"/>
              </w:rPr>
            </w:pPr>
            <w:r>
              <w:rPr>
                <w:rFonts w:hint="eastAsia" w:ascii="仿宋" w:hAnsi="仿宋" w:eastAsia="仿宋" w:cs="宋体"/>
                <w:kern w:val="0"/>
                <w:sz w:val="21"/>
                <w:szCs w:val="21"/>
              </w:rPr>
              <w:t>5</w:t>
            </w:r>
          </w:p>
        </w:tc>
        <w:tc>
          <w:tcPr>
            <w:tcW w:w="1562"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投标有效期</w:t>
            </w:r>
          </w:p>
        </w:tc>
        <w:tc>
          <w:tcPr>
            <w:tcW w:w="1984"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投标文件内容</w:t>
            </w:r>
          </w:p>
        </w:tc>
        <w:tc>
          <w:tcPr>
            <w:tcW w:w="5409" w:type="dxa"/>
            <w:noWrap w:val="0"/>
            <w:vAlign w:val="center"/>
          </w:tcPr>
          <w:p>
            <w:pPr>
              <w:spacing w:line="240" w:lineRule="exact"/>
              <w:rPr>
                <w:rFonts w:hint="eastAsia" w:ascii="仿宋" w:hAnsi="仿宋" w:eastAsia="仿宋" w:cs="宋体"/>
                <w:kern w:val="0"/>
                <w:sz w:val="21"/>
                <w:szCs w:val="21"/>
              </w:rPr>
            </w:pPr>
            <w:r>
              <w:rPr>
                <w:rFonts w:hint="eastAsia" w:ascii="仿宋" w:hAnsi="仿宋" w:eastAsia="仿宋" w:cs="宋体"/>
                <w:kern w:val="0"/>
                <w:sz w:val="21"/>
                <w:szCs w:val="21"/>
              </w:rPr>
              <w:t>投标有效期为投标截止日期后九十天内</w:t>
            </w:r>
          </w:p>
        </w:tc>
      </w:tr>
    </w:tbl>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法定代表人授权代表签字，其澄清的内容不得超出投标文件的范围或者改变投标文件的实质性内容。</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（三）比较与评价。按招标文件中规定的评标方法和标准，对资格审查和符合性审查合格的投标文件进行商务和技术评分。</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同一</w:t>
      </w:r>
      <w:r>
        <w:rPr>
          <w:rFonts w:ascii="仿宋" w:hAnsi="仿宋" w:eastAsia="仿宋"/>
          <w:sz w:val="24"/>
          <w:szCs w:val="24"/>
        </w:rPr>
        <w:t>合同项</w:t>
      </w:r>
      <w:r>
        <w:rPr>
          <w:rFonts w:hint="eastAsia" w:ascii="仿宋" w:hAnsi="仿宋" w:eastAsia="仿宋"/>
          <w:sz w:val="24"/>
          <w:szCs w:val="24"/>
        </w:rPr>
        <w:t>（分包）</w:t>
      </w:r>
      <w:r>
        <w:rPr>
          <w:rFonts w:ascii="仿宋" w:hAnsi="仿宋" w:eastAsia="仿宋"/>
          <w:sz w:val="24"/>
          <w:szCs w:val="24"/>
        </w:rPr>
        <w:t>下</w:t>
      </w:r>
      <w:r>
        <w:rPr>
          <w:rFonts w:hint="eastAsia" w:ascii="仿宋" w:hAnsi="仿宋" w:eastAsia="仿宋"/>
          <w:sz w:val="24"/>
          <w:szCs w:val="24"/>
        </w:rPr>
        <w:t>为单一品目或非单一品目核心产品品牌的货物采购招标中，提供相同品牌产品且通过资格审查、符合性审查的不同投标人参加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评标委员会各成员独立对每个有效投标人（通过资格审查、</w:t>
      </w:r>
      <w:r>
        <w:rPr>
          <w:rFonts w:hint="eastAsia" w:ascii="仿宋" w:hAnsi="仿宋" w:eastAsia="仿宋" w:cs="宋体"/>
          <w:kern w:val="0"/>
          <w:sz w:val="24"/>
          <w:szCs w:val="24"/>
        </w:rPr>
        <w:t>符合性审查的投标人</w:t>
      </w:r>
      <w:r>
        <w:rPr>
          <w:rFonts w:hint="eastAsia" w:ascii="仿宋" w:hAnsi="仿宋" w:eastAsia="仿宋"/>
          <w:sz w:val="24"/>
          <w:szCs w:val="24"/>
        </w:rPr>
        <w:t>）的投标文件进行评价、打分，然后由评标委员会对各成员打分情况进行核查及复核，个别成员对同一投标人同一评分项的打分偏离较大的，应对投标人的投标文件进行再次核对，确属打分有误的，应及时进行修正。</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复核后，评标委员会汇总每个投标人每项评分因素的得分。</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（四）推荐中标候选人名单。</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按评审后得分由高到低的排列顺序</w:t>
      </w:r>
      <w:r>
        <w:rPr>
          <w:rFonts w:hint="eastAsia" w:ascii="仿宋" w:hAnsi="仿宋" w:eastAsia="仿宋" w:cs="宋体"/>
          <w:kern w:val="0"/>
          <w:sz w:val="24"/>
          <w:szCs w:val="24"/>
        </w:rPr>
        <w:t>推荐综合得分排名前三的投标人为本分包（项目）中标候选人，</w:t>
      </w:r>
      <w:r>
        <w:rPr>
          <w:rFonts w:hint="eastAsia" w:ascii="仿宋" w:hAnsi="仿宋" w:eastAsia="仿宋"/>
          <w:sz w:val="24"/>
          <w:szCs w:val="24"/>
        </w:rPr>
        <w:t>排名第一的为第一中标候选人。得分相同的，按投标报价由低到高顺序排列。得分且投标报价相同的并列。</w:t>
      </w:r>
    </w:p>
    <w:p>
      <w:pPr>
        <w:pStyle w:val="4"/>
        <w:numPr>
          <w:ilvl w:val="0"/>
          <w:numId w:val="18"/>
        </w:numPr>
        <w:spacing w:line="400" w:lineRule="exact"/>
        <w:ind w:firstLine="482" w:firstLineChars="200"/>
        <w:rPr>
          <w:rFonts w:hint="eastAsia"/>
          <w:lang w:eastAsia="zh-CN"/>
        </w:rPr>
      </w:pPr>
      <w:bookmarkStart w:id="26" w:name="_Toc492721017"/>
      <w:bookmarkStart w:id="27" w:name="_Toc22266"/>
      <w:bookmarkStart w:id="28" w:name="_Toc267320057"/>
      <w:r>
        <w:rPr>
          <w:rFonts w:hint="eastAsia" w:ascii="仿宋" w:hAnsi="仿宋" w:eastAsia="仿宋"/>
          <w:b/>
          <w:sz w:val="24"/>
          <w:szCs w:val="24"/>
          <w:lang w:eastAsia="zh-CN"/>
        </w:rPr>
        <w:t>评标标准</w:t>
      </w:r>
      <w:bookmarkEnd w:id="26"/>
      <w:bookmarkEnd w:id="27"/>
      <w:bookmarkEnd w:id="28"/>
    </w:p>
    <w:p>
      <w:pPr>
        <w:snapToGrid w:val="0"/>
        <w:spacing w:line="400" w:lineRule="exact"/>
        <w:ind w:firstLine="465"/>
        <w:rPr>
          <w:rFonts w:hint="eastAsia" w:ascii="仿宋" w:hAnsi="仿宋" w:eastAsia="仿宋"/>
          <w:sz w:val="24"/>
          <w:szCs w:val="24"/>
        </w:rPr>
      </w:pPr>
      <w:r>
        <w:rPr>
          <w:rFonts w:hint="eastAsia" w:ascii="仿宋" w:hAnsi="仿宋" w:eastAsia="仿宋"/>
          <w:sz w:val="24"/>
          <w:szCs w:val="24"/>
        </w:rPr>
        <w:t>（一）评审因素</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462"/>
        <w:gridCol w:w="791"/>
        <w:gridCol w:w="4484"/>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noWrap w:val="0"/>
            <w:vAlign w:val="center"/>
          </w:tcPr>
          <w:p>
            <w:pPr>
              <w:spacing w:line="240" w:lineRule="atLeast"/>
              <w:ind w:firstLine="28"/>
              <w:jc w:val="center"/>
              <w:rPr>
                <w:rFonts w:hint="eastAsia" w:ascii="仿宋" w:hAnsi="仿宋" w:eastAsia="仿宋"/>
                <w:b/>
                <w:sz w:val="21"/>
                <w:szCs w:val="21"/>
              </w:rPr>
            </w:pPr>
            <w:r>
              <w:rPr>
                <w:rFonts w:hint="eastAsia" w:ascii="仿宋" w:hAnsi="仿宋" w:eastAsia="仿宋"/>
                <w:b/>
                <w:sz w:val="21"/>
                <w:szCs w:val="21"/>
              </w:rPr>
              <w:t>序号</w:t>
            </w:r>
          </w:p>
        </w:tc>
        <w:tc>
          <w:tcPr>
            <w:tcW w:w="1462" w:type="dxa"/>
            <w:noWrap w:val="0"/>
            <w:vAlign w:val="center"/>
          </w:tcPr>
          <w:p>
            <w:pPr>
              <w:spacing w:line="240" w:lineRule="atLeast"/>
              <w:ind w:firstLine="28"/>
              <w:jc w:val="center"/>
              <w:rPr>
                <w:rFonts w:hint="eastAsia" w:ascii="仿宋" w:hAnsi="仿宋" w:eastAsia="仿宋"/>
                <w:b/>
                <w:sz w:val="21"/>
                <w:szCs w:val="21"/>
              </w:rPr>
            </w:pPr>
            <w:r>
              <w:rPr>
                <w:rFonts w:hint="eastAsia" w:ascii="仿宋" w:hAnsi="仿宋" w:eastAsia="仿宋"/>
                <w:b/>
                <w:sz w:val="21"/>
                <w:szCs w:val="21"/>
              </w:rPr>
              <w:t>评分因素</w:t>
            </w:r>
          </w:p>
          <w:p>
            <w:pPr>
              <w:spacing w:line="240" w:lineRule="atLeast"/>
              <w:ind w:firstLine="28"/>
              <w:jc w:val="center"/>
              <w:rPr>
                <w:rFonts w:hint="eastAsia" w:ascii="仿宋" w:hAnsi="仿宋" w:eastAsia="仿宋"/>
                <w:b/>
                <w:sz w:val="21"/>
                <w:szCs w:val="21"/>
              </w:rPr>
            </w:pPr>
            <w:r>
              <w:rPr>
                <w:rFonts w:hint="eastAsia" w:ascii="仿宋" w:hAnsi="仿宋" w:eastAsia="仿宋"/>
                <w:b/>
                <w:sz w:val="21"/>
                <w:szCs w:val="21"/>
              </w:rPr>
              <w:t>及权重</w:t>
            </w:r>
          </w:p>
        </w:tc>
        <w:tc>
          <w:tcPr>
            <w:tcW w:w="791" w:type="dxa"/>
            <w:noWrap w:val="0"/>
            <w:vAlign w:val="center"/>
          </w:tcPr>
          <w:p>
            <w:pPr>
              <w:spacing w:line="240" w:lineRule="atLeast"/>
              <w:ind w:firstLine="28"/>
              <w:jc w:val="center"/>
              <w:rPr>
                <w:rFonts w:hint="eastAsia" w:ascii="仿宋" w:hAnsi="仿宋" w:eastAsia="仿宋"/>
                <w:b/>
                <w:sz w:val="21"/>
                <w:szCs w:val="21"/>
              </w:rPr>
            </w:pPr>
            <w:r>
              <w:rPr>
                <w:rFonts w:hint="eastAsia" w:ascii="仿宋" w:hAnsi="仿宋" w:eastAsia="仿宋"/>
                <w:b/>
                <w:sz w:val="21"/>
                <w:szCs w:val="21"/>
              </w:rPr>
              <w:t>分值</w:t>
            </w:r>
          </w:p>
        </w:tc>
        <w:tc>
          <w:tcPr>
            <w:tcW w:w="4484" w:type="dxa"/>
            <w:noWrap w:val="0"/>
            <w:vAlign w:val="center"/>
          </w:tcPr>
          <w:p>
            <w:pPr>
              <w:spacing w:line="240" w:lineRule="atLeast"/>
              <w:ind w:firstLine="28"/>
              <w:jc w:val="center"/>
              <w:rPr>
                <w:rFonts w:hint="eastAsia" w:ascii="仿宋" w:hAnsi="仿宋" w:eastAsia="仿宋"/>
                <w:b/>
                <w:sz w:val="21"/>
                <w:szCs w:val="21"/>
              </w:rPr>
            </w:pPr>
            <w:r>
              <w:rPr>
                <w:rFonts w:hint="eastAsia" w:ascii="仿宋" w:hAnsi="仿宋" w:eastAsia="仿宋"/>
                <w:b/>
                <w:sz w:val="21"/>
                <w:szCs w:val="21"/>
              </w:rPr>
              <w:t>评分标准</w:t>
            </w:r>
          </w:p>
        </w:tc>
        <w:tc>
          <w:tcPr>
            <w:tcW w:w="2056" w:type="dxa"/>
            <w:noWrap w:val="0"/>
            <w:vAlign w:val="center"/>
          </w:tcPr>
          <w:p>
            <w:pPr>
              <w:pStyle w:val="181"/>
              <w:spacing w:before="0" w:after="0" w:line="240" w:lineRule="atLeast"/>
              <w:rPr>
                <w:rFonts w:hint="eastAsia" w:ascii="仿宋" w:hAnsi="仿宋" w:eastAsia="仿宋"/>
                <w:sz w:val="21"/>
                <w:szCs w:val="21"/>
              </w:rPr>
            </w:pPr>
            <w:r>
              <w:rPr>
                <w:rFonts w:hint="eastAsia" w:ascii="仿宋" w:hAnsi="仿宋" w:eastAsia="仿宋"/>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noWrap w:val="0"/>
            <w:vAlign w:val="center"/>
          </w:tcPr>
          <w:p>
            <w:pPr>
              <w:spacing w:line="240" w:lineRule="atLeast"/>
              <w:ind w:firstLine="28"/>
              <w:jc w:val="center"/>
              <w:rPr>
                <w:rFonts w:hint="eastAsia" w:ascii="仿宋" w:hAnsi="仿宋" w:eastAsia="仿宋"/>
                <w:sz w:val="21"/>
                <w:szCs w:val="21"/>
              </w:rPr>
            </w:pPr>
            <w:r>
              <w:rPr>
                <w:rFonts w:hint="eastAsia" w:ascii="仿宋" w:hAnsi="仿宋" w:eastAsia="仿宋"/>
                <w:sz w:val="21"/>
                <w:szCs w:val="21"/>
              </w:rPr>
              <w:t>1</w:t>
            </w:r>
          </w:p>
        </w:tc>
        <w:tc>
          <w:tcPr>
            <w:tcW w:w="1462" w:type="dxa"/>
            <w:noWrap w:val="0"/>
            <w:vAlign w:val="center"/>
          </w:tcPr>
          <w:p>
            <w:pPr>
              <w:spacing w:line="240" w:lineRule="atLeast"/>
              <w:ind w:firstLine="28"/>
              <w:jc w:val="center"/>
              <w:rPr>
                <w:rFonts w:hint="eastAsia" w:ascii="仿宋" w:hAnsi="仿宋" w:eastAsia="仿宋"/>
                <w:sz w:val="21"/>
                <w:szCs w:val="21"/>
              </w:rPr>
            </w:pPr>
            <w:r>
              <w:rPr>
                <w:rFonts w:hint="eastAsia" w:ascii="仿宋" w:hAnsi="仿宋" w:eastAsia="仿宋"/>
                <w:sz w:val="21"/>
                <w:szCs w:val="21"/>
              </w:rPr>
              <w:t>投标报价</w:t>
            </w:r>
          </w:p>
          <w:p>
            <w:pPr>
              <w:spacing w:line="240" w:lineRule="atLeast"/>
              <w:ind w:firstLine="28"/>
              <w:jc w:val="center"/>
              <w:rPr>
                <w:rFonts w:hint="eastAsia" w:ascii="仿宋" w:hAnsi="仿宋" w:eastAsia="仿宋"/>
                <w:sz w:val="21"/>
                <w:szCs w:val="21"/>
              </w:rPr>
            </w:pPr>
            <w:r>
              <w:rPr>
                <w:rFonts w:hint="eastAsia" w:ascii="仿宋" w:hAnsi="仿宋" w:eastAsia="仿宋"/>
                <w:sz w:val="21"/>
                <w:szCs w:val="21"/>
              </w:rPr>
              <w:t>（60%）</w:t>
            </w:r>
          </w:p>
        </w:tc>
        <w:tc>
          <w:tcPr>
            <w:tcW w:w="791" w:type="dxa"/>
            <w:noWrap w:val="0"/>
            <w:vAlign w:val="center"/>
          </w:tcPr>
          <w:p>
            <w:pPr>
              <w:spacing w:line="240" w:lineRule="atLeast"/>
              <w:ind w:firstLine="28"/>
              <w:jc w:val="center"/>
              <w:rPr>
                <w:rFonts w:ascii="仿宋" w:hAnsi="仿宋" w:eastAsia="仿宋"/>
                <w:sz w:val="21"/>
                <w:szCs w:val="21"/>
              </w:rPr>
            </w:pPr>
            <w:r>
              <w:rPr>
                <w:rFonts w:hint="eastAsia" w:ascii="仿宋" w:hAnsi="仿宋" w:eastAsia="仿宋"/>
                <w:sz w:val="21"/>
                <w:szCs w:val="21"/>
              </w:rPr>
              <w:t>60分</w:t>
            </w:r>
          </w:p>
        </w:tc>
        <w:tc>
          <w:tcPr>
            <w:tcW w:w="4484" w:type="dxa"/>
            <w:noWrap w:val="0"/>
            <w:vAlign w:val="center"/>
          </w:tcPr>
          <w:p>
            <w:pPr>
              <w:spacing w:line="240" w:lineRule="atLeast"/>
              <w:rPr>
                <w:rFonts w:hint="eastAsia" w:ascii="仿宋" w:hAnsi="仿宋" w:eastAsia="仿宋"/>
                <w:sz w:val="21"/>
                <w:szCs w:val="21"/>
              </w:rPr>
            </w:pPr>
            <w:r>
              <w:rPr>
                <w:rFonts w:hint="eastAsia" w:ascii="仿宋" w:hAnsi="仿宋" w:eastAsia="仿宋"/>
                <w:sz w:val="21"/>
                <w:szCs w:val="21"/>
              </w:rPr>
              <w:t>按供应商所报利率高低排序。</w:t>
            </w:r>
          </w:p>
        </w:tc>
        <w:tc>
          <w:tcPr>
            <w:tcW w:w="2056" w:type="dxa"/>
            <w:noWrap w:val="0"/>
            <w:vAlign w:val="center"/>
          </w:tcPr>
          <w:p>
            <w:pPr>
              <w:spacing w:line="240" w:lineRule="atLeast"/>
              <w:rPr>
                <w:rFonts w:ascii="仿宋" w:hAnsi="仿宋" w:eastAsia="仿宋"/>
                <w:sz w:val="21"/>
                <w:szCs w:val="21"/>
              </w:rPr>
            </w:pPr>
            <w:r>
              <w:rPr>
                <w:rFonts w:hint="eastAsia" w:ascii="仿宋" w:hAnsi="仿宋" w:eastAsia="仿宋"/>
                <w:sz w:val="21"/>
                <w:szCs w:val="21"/>
              </w:rPr>
              <w:t>利率最高60分，排序后面依次按照5分递减。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9" w:hRule="atLeast"/>
        </w:trPr>
        <w:tc>
          <w:tcPr>
            <w:tcW w:w="835" w:type="dxa"/>
            <w:noWrap w:val="0"/>
            <w:vAlign w:val="center"/>
          </w:tcPr>
          <w:p>
            <w:pPr>
              <w:spacing w:line="240" w:lineRule="atLeast"/>
              <w:ind w:firstLine="28"/>
              <w:jc w:val="center"/>
              <w:rPr>
                <w:rFonts w:hint="eastAsia" w:ascii="仿宋" w:hAnsi="仿宋" w:eastAsia="仿宋"/>
                <w:sz w:val="21"/>
                <w:szCs w:val="21"/>
              </w:rPr>
            </w:pPr>
            <w:r>
              <w:rPr>
                <w:rFonts w:hint="eastAsia" w:ascii="仿宋" w:hAnsi="仿宋" w:eastAsia="仿宋"/>
                <w:sz w:val="21"/>
                <w:szCs w:val="21"/>
              </w:rPr>
              <w:t>2</w:t>
            </w:r>
          </w:p>
        </w:tc>
        <w:tc>
          <w:tcPr>
            <w:tcW w:w="1462" w:type="dxa"/>
            <w:noWrap w:val="0"/>
            <w:vAlign w:val="center"/>
          </w:tcPr>
          <w:p>
            <w:pPr>
              <w:spacing w:line="240" w:lineRule="atLeast"/>
              <w:ind w:firstLine="28"/>
              <w:jc w:val="center"/>
              <w:rPr>
                <w:rFonts w:hint="eastAsia" w:ascii="仿宋" w:hAnsi="仿宋" w:eastAsia="仿宋"/>
                <w:sz w:val="21"/>
                <w:szCs w:val="21"/>
              </w:rPr>
            </w:pPr>
            <w:r>
              <w:rPr>
                <w:rFonts w:hint="eastAsia" w:ascii="仿宋" w:hAnsi="仿宋" w:eastAsia="仿宋"/>
                <w:sz w:val="21"/>
                <w:szCs w:val="21"/>
              </w:rPr>
              <w:t>技术部分</w:t>
            </w:r>
          </w:p>
          <w:p>
            <w:pPr>
              <w:spacing w:line="240" w:lineRule="atLeast"/>
              <w:ind w:firstLine="28"/>
              <w:jc w:val="center"/>
              <w:rPr>
                <w:rFonts w:hint="eastAsia" w:ascii="仿宋" w:hAnsi="仿宋" w:eastAsia="仿宋"/>
                <w:sz w:val="21"/>
                <w:szCs w:val="21"/>
              </w:rPr>
            </w:pPr>
            <w:r>
              <w:rPr>
                <w:rFonts w:hint="eastAsia" w:ascii="仿宋" w:hAnsi="仿宋" w:eastAsia="仿宋"/>
                <w:sz w:val="21"/>
                <w:szCs w:val="21"/>
              </w:rPr>
              <w:t>（40%）</w:t>
            </w:r>
          </w:p>
        </w:tc>
        <w:tc>
          <w:tcPr>
            <w:tcW w:w="791" w:type="dxa"/>
            <w:noWrap w:val="0"/>
            <w:vAlign w:val="center"/>
          </w:tcPr>
          <w:p>
            <w:pPr>
              <w:spacing w:line="240" w:lineRule="atLeast"/>
              <w:ind w:firstLine="28"/>
              <w:jc w:val="center"/>
              <w:rPr>
                <w:rFonts w:ascii="仿宋" w:hAnsi="仿宋" w:eastAsia="仿宋"/>
                <w:sz w:val="21"/>
                <w:szCs w:val="21"/>
                <w:highlight w:val="yellow"/>
              </w:rPr>
            </w:pPr>
            <w:r>
              <w:rPr>
                <w:rFonts w:hint="eastAsia" w:ascii="仿宋" w:hAnsi="仿宋" w:eastAsia="仿宋"/>
                <w:sz w:val="21"/>
                <w:szCs w:val="21"/>
              </w:rPr>
              <w:t>40分</w:t>
            </w:r>
          </w:p>
        </w:tc>
        <w:tc>
          <w:tcPr>
            <w:tcW w:w="4484" w:type="dxa"/>
            <w:noWrap w:val="0"/>
            <w:vAlign w:val="center"/>
          </w:tcPr>
          <w:p>
            <w:pPr>
              <w:spacing w:line="240" w:lineRule="atLeast"/>
              <w:rPr>
                <w:rFonts w:hint="eastAsia"/>
              </w:rPr>
            </w:pPr>
            <w:r>
              <w:rPr>
                <w:rFonts w:hint="eastAsia" w:ascii="仿宋" w:hAnsi="仿宋" w:eastAsia="仿宋"/>
                <w:sz w:val="21"/>
                <w:szCs w:val="21"/>
              </w:rPr>
              <w:t>经营情况证明文件（由投标人自行编制，格式自定，包含但不限于：可包含但不限于:实体店、销售流水、超市食品安全、营业人员、供应单位超市服务人员管理、商品进货渠道和进出货管理、商品物流配送能力、超市商品销售价格及优惠措施等）。</w:t>
            </w:r>
          </w:p>
          <w:p>
            <w:pPr>
              <w:pStyle w:val="2"/>
              <w:rPr>
                <w:rFonts w:hint="eastAsia"/>
              </w:rPr>
            </w:pPr>
          </w:p>
        </w:tc>
        <w:tc>
          <w:tcPr>
            <w:tcW w:w="2056" w:type="dxa"/>
            <w:noWrap w:val="0"/>
            <w:vAlign w:val="center"/>
          </w:tcPr>
          <w:p>
            <w:pPr>
              <w:spacing w:line="240" w:lineRule="atLeast"/>
              <w:rPr>
                <w:rFonts w:hint="eastAsia" w:ascii="仿宋" w:hAnsi="仿宋" w:eastAsia="仿宋"/>
                <w:sz w:val="21"/>
                <w:szCs w:val="21"/>
              </w:rPr>
            </w:pPr>
            <w:r>
              <w:rPr>
                <w:rFonts w:hint="eastAsia" w:ascii="仿宋" w:hAnsi="仿宋" w:eastAsia="仿宋"/>
                <w:sz w:val="21"/>
                <w:szCs w:val="21"/>
              </w:rPr>
              <w:t>由评委综合比较后评定：</w:t>
            </w:r>
          </w:p>
          <w:p>
            <w:pPr>
              <w:spacing w:line="240" w:lineRule="atLeast"/>
              <w:rPr>
                <w:rFonts w:hint="eastAsia" w:ascii="仿宋" w:hAnsi="仿宋" w:eastAsia="仿宋"/>
                <w:sz w:val="21"/>
                <w:szCs w:val="21"/>
              </w:rPr>
            </w:pPr>
            <w:r>
              <w:rPr>
                <w:rFonts w:hint="eastAsia" w:ascii="仿宋" w:hAnsi="仿宋" w:eastAsia="仿宋"/>
                <w:sz w:val="21"/>
                <w:szCs w:val="21"/>
              </w:rPr>
              <w:t>优秀得24—40分；良好得17—23分；一般得8—16分；较差得1—7分；未提供或提供后评定为不合格的得0分。</w:t>
            </w:r>
          </w:p>
        </w:tc>
      </w:tr>
    </w:tbl>
    <w:p>
      <w:pPr>
        <w:snapToGrid w:val="0"/>
        <w:spacing w:line="400" w:lineRule="exact"/>
        <w:ind w:firstLine="465"/>
        <w:rPr>
          <w:rFonts w:hint="eastAsia" w:ascii="仿宋" w:hAnsi="仿宋" w:eastAsia="仿宋"/>
          <w:sz w:val="24"/>
          <w:szCs w:val="24"/>
        </w:rPr>
      </w:pPr>
      <w:r>
        <w:rPr>
          <w:rFonts w:hint="eastAsia" w:ascii="仿宋" w:hAnsi="仿宋" w:eastAsia="仿宋"/>
          <w:b/>
          <w:sz w:val="24"/>
          <w:szCs w:val="24"/>
        </w:rPr>
        <w:t>说明：</w:t>
      </w:r>
      <w:r>
        <w:rPr>
          <w:rFonts w:hint="eastAsia" w:ascii="仿宋" w:hAnsi="仿宋" w:eastAsia="仿宋"/>
          <w:sz w:val="24"/>
          <w:szCs w:val="24"/>
        </w:rPr>
        <w:t>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pStyle w:val="4"/>
        <w:spacing w:line="400" w:lineRule="exact"/>
        <w:ind w:firstLine="482" w:firstLineChars="200"/>
        <w:rPr>
          <w:rFonts w:hint="eastAsia" w:ascii="仿宋" w:hAnsi="仿宋" w:eastAsia="仿宋"/>
          <w:b/>
          <w:sz w:val="24"/>
          <w:szCs w:val="24"/>
        </w:rPr>
      </w:pPr>
      <w:bookmarkStart w:id="29" w:name="_Toc492721018"/>
      <w:bookmarkStart w:id="30" w:name="_Toc5708"/>
      <w:r>
        <w:rPr>
          <w:rFonts w:hint="eastAsia" w:ascii="仿宋" w:hAnsi="仿宋" w:eastAsia="仿宋"/>
          <w:b/>
          <w:sz w:val="24"/>
          <w:szCs w:val="24"/>
        </w:rPr>
        <w:t>四、无效投标条款</w:t>
      </w:r>
      <w:bookmarkEnd w:id="29"/>
      <w:bookmarkEnd w:id="30"/>
    </w:p>
    <w:p>
      <w:pPr>
        <w:snapToGrid w:val="0"/>
        <w:spacing w:line="400" w:lineRule="exact"/>
        <w:ind w:firstLine="465"/>
        <w:rPr>
          <w:rFonts w:hint="eastAsia" w:ascii="仿宋" w:hAnsi="仿宋" w:eastAsia="仿宋"/>
          <w:sz w:val="24"/>
          <w:szCs w:val="24"/>
        </w:rPr>
      </w:pPr>
      <w:bookmarkStart w:id="31" w:name="_Toc492721019"/>
      <w:bookmarkStart w:id="32" w:name="_Toc1137"/>
      <w:r>
        <w:rPr>
          <w:rFonts w:hint="eastAsia" w:ascii="仿宋" w:hAnsi="仿宋" w:eastAsia="仿宋"/>
          <w:sz w:val="24"/>
          <w:szCs w:val="24"/>
        </w:rPr>
        <w:t>投标人或其投标文件出现下列情况之一者，应为无效投标：</w:t>
      </w:r>
    </w:p>
    <w:p>
      <w:pPr>
        <w:snapToGrid w:val="0"/>
        <w:spacing w:line="400" w:lineRule="exact"/>
        <w:ind w:firstLine="465"/>
        <w:rPr>
          <w:rFonts w:hint="eastAsia" w:ascii="仿宋" w:hAnsi="仿宋" w:eastAsia="仿宋"/>
          <w:sz w:val="24"/>
          <w:szCs w:val="24"/>
        </w:rPr>
      </w:pPr>
      <w:r>
        <w:rPr>
          <w:rFonts w:hint="eastAsia" w:ascii="仿宋" w:hAnsi="仿宋" w:eastAsia="仿宋"/>
          <w:sz w:val="24"/>
          <w:szCs w:val="24"/>
        </w:rPr>
        <w:t>（一）未按照招标文件的规定提交投标保证金的；</w:t>
      </w:r>
    </w:p>
    <w:p>
      <w:pPr>
        <w:snapToGrid w:val="0"/>
        <w:spacing w:line="400" w:lineRule="exact"/>
        <w:ind w:firstLine="465"/>
        <w:rPr>
          <w:rFonts w:hint="eastAsia" w:ascii="仿宋" w:hAnsi="仿宋" w:eastAsia="仿宋"/>
          <w:sz w:val="24"/>
          <w:szCs w:val="24"/>
        </w:rPr>
      </w:pPr>
      <w:r>
        <w:rPr>
          <w:rFonts w:hint="eastAsia" w:ascii="仿宋" w:hAnsi="仿宋" w:eastAsia="仿宋"/>
          <w:sz w:val="24"/>
          <w:szCs w:val="24"/>
        </w:rPr>
        <w:t>（二）投标文件未按招标文件要求签署、盖章的；</w:t>
      </w:r>
    </w:p>
    <w:p>
      <w:pPr>
        <w:snapToGrid w:val="0"/>
        <w:spacing w:line="400" w:lineRule="exact"/>
        <w:ind w:firstLine="465"/>
        <w:rPr>
          <w:rFonts w:hint="eastAsia" w:ascii="仿宋" w:hAnsi="仿宋" w:eastAsia="仿宋"/>
          <w:sz w:val="24"/>
          <w:szCs w:val="24"/>
        </w:rPr>
      </w:pPr>
      <w:r>
        <w:rPr>
          <w:rFonts w:hint="eastAsia" w:ascii="仿宋" w:hAnsi="仿宋" w:eastAsia="仿宋"/>
          <w:sz w:val="24"/>
          <w:szCs w:val="24"/>
        </w:rPr>
        <w:t>（三）不具备招标文件中规定的资格要求的；</w:t>
      </w:r>
    </w:p>
    <w:p>
      <w:pPr>
        <w:snapToGrid w:val="0"/>
        <w:spacing w:line="400" w:lineRule="exact"/>
        <w:ind w:firstLine="465"/>
        <w:rPr>
          <w:rFonts w:hint="eastAsia" w:ascii="仿宋" w:hAnsi="仿宋" w:eastAsia="仿宋"/>
          <w:sz w:val="24"/>
          <w:szCs w:val="24"/>
        </w:rPr>
      </w:pPr>
      <w:r>
        <w:rPr>
          <w:rFonts w:hint="eastAsia" w:ascii="仿宋" w:hAnsi="仿宋" w:eastAsia="仿宋"/>
          <w:sz w:val="24"/>
          <w:szCs w:val="24"/>
        </w:rPr>
        <w:t>（四）报价超过招标文件中规定的预算金额或者最高限价的；</w:t>
      </w:r>
    </w:p>
    <w:p>
      <w:pPr>
        <w:snapToGrid w:val="0"/>
        <w:spacing w:line="400" w:lineRule="exact"/>
        <w:ind w:firstLine="465"/>
        <w:rPr>
          <w:rFonts w:hint="eastAsia" w:ascii="仿宋" w:hAnsi="仿宋" w:eastAsia="仿宋"/>
          <w:sz w:val="24"/>
          <w:szCs w:val="24"/>
        </w:rPr>
      </w:pPr>
      <w:r>
        <w:rPr>
          <w:rFonts w:hint="eastAsia" w:ascii="仿宋" w:hAnsi="仿宋" w:eastAsia="仿宋"/>
          <w:sz w:val="24"/>
          <w:szCs w:val="24"/>
        </w:rPr>
        <w:t>（五）投标文件含有采购人不能接受的附加条件的；</w:t>
      </w:r>
    </w:p>
    <w:p>
      <w:pPr>
        <w:snapToGrid w:val="0"/>
        <w:spacing w:line="400" w:lineRule="exact"/>
        <w:ind w:firstLine="465"/>
        <w:rPr>
          <w:rFonts w:hint="eastAsia" w:ascii="仿宋" w:hAnsi="仿宋" w:eastAsia="仿宋"/>
          <w:sz w:val="24"/>
          <w:szCs w:val="24"/>
        </w:rPr>
      </w:pPr>
      <w:r>
        <w:rPr>
          <w:rFonts w:hint="eastAsia" w:ascii="仿宋" w:hAnsi="仿宋" w:eastAsia="仿宋"/>
          <w:sz w:val="24"/>
          <w:szCs w:val="24"/>
        </w:rPr>
        <w:t>（六）投标人串通投标的；</w:t>
      </w:r>
    </w:p>
    <w:p>
      <w:pPr>
        <w:snapToGrid w:val="0"/>
        <w:spacing w:line="400" w:lineRule="exact"/>
        <w:ind w:firstLine="465"/>
        <w:rPr>
          <w:rFonts w:hint="eastAsia" w:ascii="仿宋" w:hAnsi="仿宋" w:eastAsia="仿宋"/>
          <w:sz w:val="24"/>
          <w:szCs w:val="24"/>
        </w:rPr>
      </w:pPr>
      <w:r>
        <w:rPr>
          <w:rFonts w:hint="eastAsia" w:ascii="仿宋" w:hAnsi="仿宋" w:eastAsia="仿宋"/>
          <w:sz w:val="24"/>
          <w:szCs w:val="24"/>
        </w:rPr>
        <w:t>（七）投标人组成联合体投标的；</w:t>
      </w:r>
    </w:p>
    <w:p>
      <w:pPr>
        <w:snapToGrid w:val="0"/>
        <w:spacing w:line="400" w:lineRule="exact"/>
        <w:ind w:firstLine="465"/>
        <w:rPr>
          <w:rFonts w:hint="eastAsia" w:ascii="仿宋" w:hAnsi="仿宋" w:eastAsia="仿宋"/>
          <w:sz w:val="24"/>
          <w:szCs w:val="24"/>
        </w:rPr>
      </w:pPr>
      <w:r>
        <w:rPr>
          <w:rFonts w:hint="eastAsia" w:ascii="仿宋" w:hAnsi="仿宋" w:eastAsia="仿宋"/>
          <w:sz w:val="24"/>
          <w:szCs w:val="24"/>
        </w:rPr>
        <w:t>（八）法律、法规和招标文件规定的其他无效情形。</w:t>
      </w:r>
    </w:p>
    <w:p>
      <w:pPr>
        <w:snapToGrid w:val="0"/>
        <w:spacing w:line="400" w:lineRule="exact"/>
        <w:ind w:firstLine="465"/>
        <w:rPr>
          <w:rFonts w:hint="eastAsia" w:ascii="仿宋" w:hAnsi="仿宋" w:eastAsia="仿宋"/>
          <w:b/>
          <w:sz w:val="24"/>
          <w:szCs w:val="24"/>
        </w:rPr>
      </w:pPr>
      <w:r>
        <w:rPr>
          <w:rFonts w:hint="eastAsia" w:ascii="仿宋" w:hAnsi="仿宋" w:eastAsia="仿宋"/>
          <w:b/>
          <w:sz w:val="24"/>
          <w:szCs w:val="24"/>
        </w:rPr>
        <w:t>五、废标条款</w:t>
      </w:r>
      <w:bookmarkEnd w:id="31"/>
      <w:bookmarkEnd w:id="32"/>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评标委员会评审时出现以下情况之一的，应予废标：</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（一）符合专业条件的投标人或者对招标文件作实质响应的投标人不足三家的；</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（二）投标人的报价均超过了采购预算，采购人不能支付的；</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（三）出现影响采购公正的违法、违规行为的；</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（四）因重大变故，采购任务取消的。</w:t>
      </w:r>
    </w:p>
    <w:p>
      <w:pPr>
        <w:snapToGrid w:val="0"/>
        <w:spacing w:line="400" w:lineRule="exact"/>
        <w:ind w:firstLine="480" w:firstLineChars="200"/>
        <w:rPr>
          <w:rFonts w:hint="eastAsia" w:ascii="仿宋" w:hAnsi="仿宋" w:eastAsia="仿宋"/>
          <w:sz w:val="24"/>
          <w:szCs w:val="24"/>
        </w:rPr>
      </w:pPr>
      <w:r>
        <w:rPr>
          <w:rFonts w:hint="eastAsia" w:ascii="仿宋" w:hAnsi="仿宋" w:eastAsia="仿宋"/>
          <w:sz w:val="24"/>
          <w:szCs w:val="24"/>
        </w:rPr>
        <w:t>废标后，除采购任务取消情形外，应当重新组织采购。</w:t>
      </w:r>
    </w:p>
    <w:p>
      <w:pPr>
        <w:pStyle w:val="3"/>
        <w:spacing w:before="0" w:beforeLines="0" w:after="0" w:afterLines="0" w:line="360" w:lineRule="auto"/>
        <w:rPr>
          <w:rFonts w:hint="eastAsia" w:ascii="仿宋" w:hAnsi="仿宋" w:eastAsia="仿宋"/>
          <w:b/>
        </w:rPr>
      </w:pPr>
      <w:r>
        <w:rPr>
          <w:rFonts w:ascii="仿宋" w:hAnsi="仿宋" w:eastAsia="仿宋"/>
          <w:sz w:val="28"/>
        </w:rPr>
        <w:br w:type="page"/>
      </w:r>
      <w:bookmarkStart w:id="33" w:name="_Toc14305"/>
      <w:r>
        <w:rPr>
          <w:rFonts w:hint="eastAsia" w:ascii="仿宋" w:hAnsi="仿宋" w:eastAsia="仿宋"/>
          <w:b/>
        </w:rPr>
        <w:t>第五篇  投标人须知</w:t>
      </w:r>
      <w:bookmarkEnd w:id="33"/>
    </w:p>
    <w:p>
      <w:pPr>
        <w:pStyle w:val="4"/>
        <w:spacing w:line="400" w:lineRule="exact"/>
        <w:ind w:firstLine="482" w:firstLineChars="200"/>
        <w:rPr>
          <w:rFonts w:hint="eastAsia" w:ascii="仿宋" w:hAnsi="仿宋" w:eastAsia="仿宋"/>
          <w:b/>
          <w:sz w:val="24"/>
        </w:rPr>
      </w:pPr>
      <w:bookmarkStart w:id="34" w:name="_Toc23908"/>
      <w:r>
        <w:rPr>
          <w:rFonts w:hint="eastAsia" w:ascii="仿宋" w:hAnsi="仿宋" w:eastAsia="仿宋"/>
          <w:b/>
          <w:sz w:val="24"/>
          <w:lang w:eastAsia="zh-CN"/>
        </w:rPr>
        <w:t>一</w:t>
      </w:r>
      <w:r>
        <w:rPr>
          <w:rFonts w:hint="eastAsia" w:ascii="仿宋" w:hAnsi="仿宋" w:eastAsia="仿宋"/>
          <w:b/>
          <w:sz w:val="24"/>
        </w:rPr>
        <w:t>、投标人</w:t>
      </w:r>
      <w:bookmarkEnd w:id="34"/>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（一）投标人</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投标人是指响应招标、参加投标竞争的法人、其他组织或者自然人。</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（二）合格投标人条件</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合格投标人应完全符合招标文件第一篇中规定的投标人资格条件，并对招标文件作出实质性响应。</w:t>
      </w:r>
    </w:p>
    <w:p>
      <w:pPr>
        <w:snapToGrid w:val="0"/>
        <w:spacing w:line="400" w:lineRule="exact"/>
        <w:ind w:firstLine="480" w:firstLineChars="200"/>
        <w:rPr>
          <w:rFonts w:hint="eastAsia" w:ascii="仿宋" w:hAnsi="仿宋" w:eastAsia="仿宋"/>
          <w:sz w:val="24"/>
          <w:szCs w:val="28"/>
        </w:rPr>
      </w:pPr>
      <w:r>
        <w:rPr>
          <w:rFonts w:hint="eastAsia" w:ascii="仿宋" w:hAnsi="仿宋" w:eastAsia="仿宋"/>
          <w:sz w:val="24"/>
          <w:szCs w:val="28"/>
        </w:rPr>
        <w:t>（三）投标人的风险</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投标人没有按照招标文件要求提供全部资料，或者投标人没有对招标文件在各方面作出实质性响应，可能导致投标被拒绝或评定为无效投标。</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（四）法律责任</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投标人违反《中华人民共和国政府采购法》、《中华人民共和国政府采购实施条例》等相关规定，将按规定追究投标人法律责任。</w:t>
      </w:r>
    </w:p>
    <w:p>
      <w:pPr>
        <w:pStyle w:val="4"/>
        <w:spacing w:line="400" w:lineRule="exact"/>
        <w:ind w:firstLine="482" w:firstLineChars="200"/>
        <w:rPr>
          <w:rFonts w:hint="eastAsia" w:ascii="仿宋" w:hAnsi="仿宋" w:eastAsia="仿宋"/>
          <w:b/>
          <w:sz w:val="24"/>
        </w:rPr>
      </w:pPr>
      <w:bookmarkStart w:id="35" w:name="_Toc16664"/>
      <w:r>
        <w:rPr>
          <w:rFonts w:hint="eastAsia" w:ascii="仿宋" w:hAnsi="仿宋" w:eastAsia="仿宋"/>
          <w:b/>
          <w:sz w:val="24"/>
          <w:lang w:eastAsia="zh-CN"/>
        </w:rPr>
        <w:t>二</w:t>
      </w:r>
      <w:r>
        <w:rPr>
          <w:rFonts w:hint="eastAsia" w:ascii="仿宋" w:hAnsi="仿宋" w:eastAsia="仿宋"/>
          <w:b/>
          <w:sz w:val="24"/>
        </w:rPr>
        <w:t>、招标文件</w:t>
      </w:r>
      <w:bookmarkEnd w:id="35"/>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招标文件是投标人编制投标文件的依据，是评标委员会评判依据和标准。招标文件也是采购人与中标人签订合同的基础。</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（一）招标文件由投标邀请书；项目技术规格、数量及质量要求；商务条款；投标人须知；评标方法、评标标准、无效投标条款和废标条款；合同主要条款、合同范本；投标文件格式等七部分组成。</w:t>
      </w:r>
    </w:p>
    <w:p>
      <w:pPr>
        <w:snapToGrid w:val="0"/>
        <w:spacing w:line="400" w:lineRule="exact"/>
        <w:ind w:firstLine="480"/>
        <w:rPr>
          <w:rFonts w:hint="eastAsia" w:ascii="仿宋" w:hAnsi="仿宋" w:eastAsia="仿宋"/>
          <w:sz w:val="24"/>
        </w:rPr>
      </w:pPr>
      <w:r>
        <w:rPr>
          <w:rFonts w:hint="eastAsia" w:ascii="仿宋" w:hAnsi="仿宋" w:eastAsia="仿宋"/>
          <w:sz w:val="24"/>
          <w:szCs w:val="28"/>
        </w:rPr>
        <w:t>（二）采购人或</w:t>
      </w:r>
      <w:r>
        <w:rPr>
          <w:rFonts w:hint="eastAsia" w:ascii="仿宋" w:hAnsi="仿宋" w:eastAsia="仿宋"/>
          <w:sz w:val="24"/>
        </w:rPr>
        <w:t>采购代理机构对招标文件所作的一切有效的书面通知、修改及补充，都是招标文件不可分割的部分。</w:t>
      </w:r>
    </w:p>
    <w:p>
      <w:pPr>
        <w:snapToGrid w:val="0"/>
        <w:spacing w:line="400" w:lineRule="exact"/>
        <w:ind w:firstLine="480"/>
        <w:rPr>
          <w:rFonts w:hint="eastAsia" w:ascii="仿宋" w:hAnsi="仿宋" w:eastAsia="仿宋"/>
          <w:sz w:val="24"/>
        </w:rPr>
      </w:pPr>
      <w:r>
        <w:rPr>
          <w:rFonts w:hint="eastAsia" w:ascii="仿宋" w:hAnsi="仿宋" w:eastAsia="仿宋"/>
          <w:sz w:val="24"/>
        </w:rPr>
        <w:t>（三）</w:t>
      </w:r>
      <w:r>
        <w:rPr>
          <w:rFonts w:hint="eastAsia" w:ascii="仿宋" w:hAnsi="仿宋" w:eastAsia="仿宋"/>
          <w:sz w:val="24"/>
          <w:szCs w:val="24"/>
        </w:rPr>
        <w:t>本项目的招标文件、补遗文件（如果有）一律在重庆市万州高级技工学校网站上发布，请各投标人注意下载；无论投标人下载，均视同投标人已知晓本项目招标文件、补遗文件的内容。</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（四）</w:t>
      </w:r>
      <w:r>
        <w:rPr>
          <w:rFonts w:hint="eastAsia" w:ascii="仿宋" w:hAnsi="仿宋" w:eastAsia="仿宋"/>
          <w:sz w:val="24"/>
          <w:szCs w:val="28"/>
        </w:rPr>
        <w:t>采购人或</w:t>
      </w:r>
      <w:r>
        <w:rPr>
          <w:rFonts w:hint="eastAsia" w:ascii="仿宋" w:hAnsi="仿宋" w:eastAsia="仿宋"/>
          <w:sz w:val="24"/>
        </w:rPr>
        <w:t>采购代理机构对已发出的招标文件需要进行澄清或修改的，应以公告形式通知所有招标文件收受人。该澄清或者修改的内容为招标文件的组成部分。</w:t>
      </w:r>
    </w:p>
    <w:p>
      <w:pPr>
        <w:pStyle w:val="4"/>
        <w:spacing w:line="400" w:lineRule="exact"/>
        <w:ind w:firstLine="482" w:firstLineChars="200"/>
        <w:rPr>
          <w:rFonts w:hint="eastAsia" w:ascii="仿宋" w:hAnsi="仿宋" w:eastAsia="仿宋"/>
          <w:b/>
          <w:sz w:val="24"/>
        </w:rPr>
      </w:pPr>
      <w:bookmarkStart w:id="36" w:name="_Toc7732"/>
      <w:r>
        <w:rPr>
          <w:rFonts w:hint="eastAsia" w:ascii="仿宋" w:hAnsi="仿宋" w:eastAsia="仿宋"/>
          <w:b/>
          <w:sz w:val="24"/>
          <w:lang w:eastAsia="zh-CN"/>
        </w:rPr>
        <w:t>三</w:t>
      </w:r>
      <w:r>
        <w:rPr>
          <w:rFonts w:hint="eastAsia" w:ascii="仿宋" w:hAnsi="仿宋" w:eastAsia="仿宋"/>
          <w:b/>
          <w:sz w:val="24"/>
        </w:rPr>
        <w:t>、投标文件</w:t>
      </w:r>
      <w:bookmarkEnd w:id="36"/>
    </w:p>
    <w:p>
      <w:pPr>
        <w:spacing w:line="400" w:lineRule="exact"/>
        <w:ind w:firstLine="480" w:firstLineChars="200"/>
        <w:rPr>
          <w:rFonts w:hint="eastAsia" w:ascii="仿宋" w:hAnsi="仿宋" w:eastAsia="仿宋"/>
          <w:sz w:val="24"/>
        </w:rPr>
      </w:pPr>
      <w:r>
        <w:rPr>
          <w:rFonts w:hint="eastAsia" w:ascii="仿宋" w:hAnsi="仿宋" w:eastAsia="仿宋"/>
          <w:sz w:val="24"/>
        </w:rPr>
        <w:t>投标人应当按照招标文件的要求编制投标文件，并对招标文件提出的要求和条件作出实质性响应，投标文件原则上采用软面订本，同时应编制完整的页码、目录。</w:t>
      </w:r>
    </w:p>
    <w:p>
      <w:pPr>
        <w:spacing w:line="400" w:lineRule="exact"/>
        <w:ind w:firstLine="480" w:firstLineChars="200"/>
        <w:rPr>
          <w:rFonts w:hint="eastAsia" w:ascii="仿宋" w:hAnsi="仿宋" w:eastAsia="仿宋"/>
          <w:sz w:val="24"/>
        </w:rPr>
      </w:pPr>
      <w:r>
        <w:rPr>
          <w:rFonts w:hint="eastAsia" w:ascii="仿宋" w:hAnsi="仿宋" w:eastAsia="仿宋"/>
          <w:sz w:val="24"/>
        </w:rPr>
        <w:t>（一）投标文件组成</w:t>
      </w:r>
    </w:p>
    <w:p>
      <w:pPr>
        <w:spacing w:line="400" w:lineRule="exact"/>
        <w:ind w:firstLine="480" w:firstLineChars="200"/>
        <w:rPr>
          <w:rFonts w:hint="eastAsia" w:ascii="仿宋" w:hAnsi="仿宋" w:eastAsia="仿宋"/>
          <w:sz w:val="24"/>
        </w:rPr>
      </w:pPr>
      <w:r>
        <w:rPr>
          <w:rFonts w:hint="eastAsia" w:ascii="仿宋" w:hAnsi="仿宋" w:eastAsia="仿宋"/>
          <w:sz w:val="24"/>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spacing w:line="400" w:lineRule="exact"/>
        <w:ind w:firstLine="480" w:firstLineChars="200"/>
        <w:rPr>
          <w:rFonts w:hint="eastAsia" w:ascii="仿宋" w:hAnsi="仿宋" w:eastAsia="仿宋"/>
          <w:sz w:val="24"/>
        </w:rPr>
      </w:pPr>
      <w:r>
        <w:rPr>
          <w:rFonts w:hint="eastAsia" w:ascii="仿宋" w:hAnsi="仿宋" w:eastAsia="仿宋"/>
          <w:sz w:val="24"/>
        </w:rPr>
        <w:t>（二）投标有效期</w:t>
      </w:r>
    </w:p>
    <w:p>
      <w:pPr>
        <w:spacing w:line="400" w:lineRule="exact"/>
        <w:ind w:firstLine="480" w:firstLineChars="200"/>
        <w:rPr>
          <w:rFonts w:hint="eastAsia" w:ascii="仿宋" w:hAnsi="仿宋" w:eastAsia="仿宋"/>
          <w:sz w:val="24"/>
        </w:rPr>
      </w:pPr>
      <w:r>
        <w:rPr>
          <w:rFonts w:hint="eastAsia" w:ascii="仿宋" w:hAnsi="仿宋" w:eastAsia="仿宋"/>
          <w:sz w:val="24"/>
        </w:rPr>
        <w:t>投标有效期为投标截止日期后九十天内。</w:t>
      </w:r>
    </w:p>
    <w:p>
      <w:pPr>
        <w:spacing w:line="400" w:lineRule="exact"/>
        <w:ind w:firstLine="480" w:firstLineChars="200"/>
        <w:rPr>
          <w:rFonts w:hint="eastAsia" w:ascii="仿宋" w:hAnsi="仿宋" w:eastAsia="仿宋"/>
          <w:sz w:val="24"/>
        </w:rPr>
      </w:pPr>
      <w:r>
        <w:rPr>
          <w:rFonts w:hint="eastAsia" w:ascii="仿宋" w:hAnsi="仿宋" w:eastAsia="仿宋"/>
          <w:sz w:val="24"/>
        </w:rPr>
        <w:t>（三）投标保证金</w:t>
      </w:r>
    </w:p>
    <w:p>
      <w:pPr>
        <w:tabs>
          <w:tab w:val="left" w:pos="0"/>
        </w:tabs>
        <w:snapToGrid w:val="0"/>
        <w:spacing w:line="400" w:lineRule="exact"/>
        <w:ind w:firstLine="480" w:firstLineChars="200"/>
        <w:rPr>
          <w:rFonts w:hint="eastAsia" w:ascii="仿宋" w:hAnsi="仿宋" w:eastAsia="仿宋"/>
          <w:sz w:val="24"/>
        </w:rPr>
      </w:pPr>
      <w:r>
        <w:rPr>
          <w:rFonts w:hint="eastAsia" w:ascii="仿宋" w:hAnsi="仿宋" w:eastAsia="仿宋"/>
          <w:sz w:val="24"/>
        </w:rPr>
        <w:t>1.投标人应在投标截止时间前，按招标文件第一篇规定缴纳投标保证金。</w:t>
      </w:r>
    </w:p>
    <w:p>
      <w:pPr>
        <w:tabs>
          <w:tab w:val="left" w:pos="0"/>
        </w:tabs>
        <w:spacing w:line="400" w:lineRule="exact"/>
        <w:ind w:firstLine="480" w:firstLineChars="200"/>
        <w:rPr>
          <w:rFonts w:hint="eastAsia" w:ascii="仿宋" w:hAnsi="仿宋" w:eastAsia="仿宋"/>
          <w:sz w:val="24"/>
        </w:rPr>
      </w:pPr>
      <w:r>
        <w:rPr>
          <w:rFonts w:hint="eastAsia" w:ascii="仿宋" w:hAnsi="仿宋" w:eastAsia="仿宋"/>
          <w:sz w:val="24"/>
        </w:rPr>
        <w:t>2.投标保证金为投标的有效约束条件。</w:t>
      </w:r>
    </w:p>
    <w:p>
      <w:pPr>
        <w:tabs>
          <w:tab w:val="left" w:pos="0"/>
        </w:tabs>
        <w:spacing w:line="400" w:lineRule="exact"/>
        <w:ind w:firstLine="480" w:firstLineChars="200"/>
        <w:rPr>
          <w:rFonts w:hint="eastAsia" w:ascii="仿宋" w:hAnsi="仿宋" w:eastAsia="仿宋"/>
          <w:sz w:val="24"/>
        </w:rPr>
      </w:pPr>
      <w:r>
        <w:rPr>
          <w:rFonts w:hint="eastAsia" w:ascii="仿宋" w:hAnsi="仿宋" w:eastAsia="仿宋"/>
          <w:sz w:val="24"/>
        </w:rPr>
        <w:t>3.投标保证金的有效期限在投标有效期过后三十天内继续有效。</w:t>
      </w:r>
    </w:p>
    <w:p>
      <w:pPr>
        <w:tabs>
          <w:tab w:val="left" w:pos="0"/>
        </w:tabs>
        <w:spacing w:line="400" w:lineRule="exact"/>
        <w:ind w:firstLine="480" w:firstLineChars="200"/>
        <w:rPr>
          <w:rFonts w:hint="eastAsia" w:ascii="仿宋" w:hAnsi="仿宋" w:eastAsia="仿宋"/>
          <w:sz w:val="24"/>
        </w:rPr>
      </w:pPr>
      <w:r>
        <w:rPr>
          <w:rFonts w:hint="eastAsia" w:ascii="仿宋" w:hAnsi="仿宋" w:eastAsia="仿宋"/>
          <w:sz w:val="24"/>
        </w:rPr>
        <w:t>4.投标保证金币种应与投标报价币种相同。</w:t>
      </w:r>
    </w:p>
    <w:p>
      <w:pPr>
        <w:tabs>
          <w:tab w:val="left" w:pos="0"/>
        </w:tabs>
        <w:spacing w:line="400" w:lineRule="exact"/>
        <w:ind w:firstLine="480" w:firstLineChars="200"/>
        <w:rPr>
          <w:rFonts w:hint="eastAsia" w:ascii="仿宋" w:hAnsi="仿宋" w:eastAsia="仿宋"/>
          <w:sz w:val="24"/>
        </w:rPr>
      </w:pPr>
      <w:r>
        <w:rPr>
          <w:rFonts w:hint="eastAsia" w:ascii="仿宋" w:hAnsi="仿宋" w:eastAsia="仿宋"/>
          <w:sz w:val="24"/>
        </w:rPr>
        <w:t>5.采购代理机构在《中标通知书》发出后五个工作日内退还未中标人的投标保证金；在采购合同签订后五个工作日退还中标人的投标保证金。</w:t>
      </w:r>
    </w:p>
    <w:p>
      <w:pPr>
        <w:tabs>
          <w:tab w:val="left" w:pos="0"/>
        </w:tabs>
        <w:spacing w:line="400" w:lineRule="exact"/>
        <w:ind w:firstLine="480" w:firstLineChars="200"/>
        <w:rPr>
          <w:rFonts w:hint="eastAsia" w:ascii="仿宋" w:hAnsi="仿宋" w:eastAsia="仿宋"/>
          <w:sz w:val="24"/>
        </w:rPr>
      </w:pPr>
      <w:r>
        <w:rPr>
          <w:rFonts w:hint="eastAsia" w:ascii="仿宋" w:hAnsi="仿宋" w:eastAsia="仿宋"/>
          <w:sz w:val="24"/>
        </w:rPr>
        <w:t>6.投标人有下列情形之一的，采购人可以不退还投标保证金</w:t>
      </w:r>
      <w:r>
        <w:rPr>
          <w:rFonts w:hint="eastAsia" w:ascii="仿宋" w:hAnsi="仿宋" w:eastAsia="仿宋" w:cs="仿宋"/>
          <w:sz w:val="24"/>
        </w:rPr>
        <w:t>：</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6.1投标人在投标有效期内撤回投标文件的；</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6.2投标人未按规定提交履约保证金的；</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6.3投标人在投标过程中弄虚作假，提供虚假材料的；</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6.4中标人无正当理由不与采购人签订合同的；</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6.5中标人将中标项目转让给他人或者在投标文件中未说明且未经采购人同意，将中标项目分包给他人的；</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6.6中标人拒绝履行合同义务的；</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6.7其他严重扰乱招投标程序的。</w:t>
      </w:r>
    </w:p>
    <w:p>
      <w:pPr>
        <w:snapToGrid w:val="0"/>
        <w:spacing w:line="400" w:lineRule="exact"/>
        <w:ind w:firstLine="470" w:firstLineChars="196"/>
        <w:jc w:val="left"/>
        <w:rPr>
          <w:rFonts w:hint="eastAsia" w:ascii="仿宋" w:hAnsi="仿宋" w:eastAsia="仿宋"/>
          <w:bCs/>
          <w:sz w:val="24"/>
        </w:rPr>
      </w:pPr>
      <w:r>
        <w:rPr>
          <w:rFonts w:hint="eastAsia" w:ascii="仿宋" w:hAnsi="仿宋" w:eastAsia="仿宋"/>
          <w:bCs/>
          <w:sz w:val="24"/>
        </w:rPr>
        <w:t>（四）投标文件的份数和签署</w:t>
      </w:r>
    </w:p>
    <w:p>
      <w:pPr>
        <w:tabs>
          <w:tab w:val="left" w:pos="0"/>
        </w:tabs>
        <w:spacing w:line="400" w:lineRule="exact"/>
        <w:ind w:firstLine="480" w:firstLineChars="200"/>
        <w:rPr>
          <w:rFonts w:hint="eastAsia" w:ascii="仿宋" w:hAnsi="仿宋" w:eastAsia="仿宋"/>
          <w:sz w:val="24"/>
        </w:rPr>
      </w:pPr>
      <w:r>
        <w:rPr>
          <w:rFonts w:hint="eastAsia" w:ascii="仿宋" w:hAnsi="仿宋" w:eastAsia="仿宋"/>
          <w:sz w:val="24"/>
        </w:rPr>
        <w:t>1.投标文件一式二份，其中正本一份，副本一份，每套纸质投标文件须在封面清楚地标明“正本”、“副本”，副本应为正本的完整复印件，副本与正本不一致时以正本为准。</w:t>
      </w:r>
    </w:p>
    <w:p>
      <w:pPr>
        <w:tabs>
          <w:tab w:val="left" w:pos="0"/>
        </w:tabs>
        <w:spacing w:line="400" w:lineRule="exact"/>
        <w:ind w:firstLine="480" w:firstLineChars="200"/>
        <w:rPr>
          <w:rFonts w:hint="eastAsia" w:ascii="仿宋" w:hAnsi="仿宋" w:eastAsia="仿宋"/>
          <w:sz w:val="24"/>
        </w:rPr>
      </w:pPr>
      <w:r>
        <w:rPr>
          <w:rFonts w:hint="eastAsia" w:ascii="仿宋" w:hAnsi="仿宋" w:eastAsia="仿宋"/>
          <w:sz w:val="24"/>
        </w:rPr>
        <w:t>2.在投标文件正本中，招标文件第七篇投标文件格式中规定签字、盖章的地方必须按其规定签字、盖章。</w:t>
      </w:r>
    </w:p>
    <w:p>
      <w:pPr>
        <w:tabs>
          <w:tab w:val="left" w:pos="0"/>
        </w:tabs>
        <w:spacing w:line="400" w:lineRule="exact"/>
        <w:ind w:firstLine="480" w:firstLineChars="200"/>
        <w:rPr>
          <w:rFonts w:hint="eastAsia" w:ascii="仿宋" w:hAnsi="仿宋" w:eastAsia="仿宋"/>
          <w:sz w:val="24"/>
        </w:rPr>
      </w:pPr>
      <w:r>
        <w:rPr>
          <w:rFonts w:hint="eastAsia" w:ascii="仿宋" w:hAnsi="仿宋" w:eastAsia="仿宋"/>
          <w:sz w:val="24"/>
        </w:rPr>
        <w:t>3.若投标人对投标文件的错处作必要修改，则应在修改处加盖投标人公章或由</w:t>
      </w:r>
      <w:r>
        <w:rPr>
          <w:rFonts w:hint="eastAsia" w:ascii="仿宋" w:hAnsi="仿宋" w:eastAsia="仿宋"/>
          <w:sz w:val="24"/>
          <w:szCs w:val="28"/>
        </w:rPr>
        <w:t>法定代表人</w:t>
      </w:r>
      <w:r>
        <w:rPr>
          <w:rFonts w:hint="eastAsia" w:ascii="仿宋" w:hAnsi="仿宋" w:eastAsia="仿宋"/>
          <w:sz w:val="24"/>
        </w:rPr>
        <w:t>或</w:t>
      </w:r>
      <w:r>
        <w:rPr>
          <w:rFonts w:hint="eastAsia" w:ascii="仿宋" w:hAnsi="仿宋" w:eastAsia="仿宋"/>
          <w:sz w:val="24"/>
          <w:szCs w:val="28"/>
        </w:rPr>
        <w:t>法定代表人</w:t>
      </w:r>
      <w:r>
        <w:rPr>
          <w:rFonts w:hint="eastAsia" w:ascii="仿宋" w:hAnsi="仿宋" w:eastAsia="仿宋"/>
          <w:sz w:val="24"/>
        </w:rPr>
        <w:t>授权代表签字确认。</w:t>
      </w:r>
    </w:p>
    <w:p>
      <w:pPr>
        <w:snapToGrid w:val="0"/>
        <w:spacing w:line="400" w:lineRule="exact"/>
        <w:ind w:firstLine="470" w:firstLineChars="196"/>
        <w:jc w:val="left"/>
        <w:rPr>
          <w:rFonts w:hint="eastAsia" w:ascii="仿宋" w:hAnsi="仿宋" w:eastAsia="仿宋"/>
          <w:bCs/>
          <w:sz w:val="24"/>
        </w:rPr>
      </w:pPr>
      <w:r>
        <w:rPr>
          <w:rFonts w:hint="eastAsia" w:ascii="仿宋" w:hAnsi="仿宋" w:eastAsia="仿宋"/>
          <w:sz w:val="24"/>
        </w:rPr>
        <w:t>4.电报、电话、传真形式的投标文件概不接受。</w:t>
      </w:r>
    </w:p>
    <w:p>
      <w:pPr>
        <w:snapToGrid w:val="0"/>
        <w:spacing w:line="400" w:lineRule="exact"/>
        <w:ind w:firstLine="470" w:firstLineChars="196"/>
        <w:jc w:val="left"/>
        <w:rPr>
          <w:rFonts w:hint="eastAsia" w:ascii="仿宋" w:hAnsi="仿宋" w:eastAsia="仿宋"/>
          <w:bCs/>
          <w:sz w:val="24"/>
        </w:rPr>
      </w:pPr>
      <w:r>
        <w:rPr>
          <w:rFonts w:hint="eastAsia" w:ascii="仿宋" w:hAnsi="仿宋" w:eastAsia="仿宋"/>
          <w:bCs/>
          <w:sz w:val="24"/>
        </w:rPr>
        <w:t>（五）投标报价</w:t>
      </w:r>
    </w:p>
    <w:p>
      <w:pPr>
        <w:snapToGrid w:val="0"/>
        <w:spacing w:line="400" w:lineRule="exact"/>
        <w:ind w:firstLine="470" w:firstLineChars="196"/>
        <w:jc w:val="left"/>
        <w:rPr>
          <w:rFonts w:hint="eastAsia" w:ascii="仿宋" w:hAnsi="仿宋" w:eastAsia="仿宋"/>
          <w:sz w:val="24"/>
        </w:rPr>
      </w:pPr>
      <w:r>
        <w:rPr>
          <w:rFonts w:hint="eastAsia" w:ascii="仿宋" w:hAnsi="仿宋" w:eastAsia="仿宋"/>
          <w:bCs/>
          <w:sz w:val="24"/>
        </w:rPr>
        <w:t>1.投标人应严格按照“投标文件格式”中“开标一览表”和“报价明细表”</w:t>
      </w:r>
      <w:r>
        <w:rPr>
          <w:rFonts w:hint="eastAsia" w:ascii="仿宋" w:hAnsi="仿宋" w:eastAsia="仿宋"/>
          <w:sz w:val="24"/>
        </w:rPr>
        <w:t>的格式填写报价。</w:t>
      </w:r>
    </w:p>
    <w:p>
      <w:pPr>
        <w:snapToGrid w:val="0"/>
        <w:spacing w:line="400" w:lineRule="exact"/>
        <w:ind w:left="3" w:leftChars="1" w:firstLine="480" w:firstLineChars="200"/>
        <w:rPr>
          <w:rFonts w:hint="eastAsia" w:ascii="仿宋" w:hAnsi="仿宋" w:eastAsia="仿宋"/>
          <w:sz w:val="24"/>
        </w:rPr>
      </w:pPr>
      <w:r>
        <w:rPr>
          <w:rFonts w:hint="eastAsia" w:ascii="仿宋" w:hAnsi="仿宋" w:eastAsia="仿宋"/>
          <w:sz w:val="24"/>
        </w:rPr>
        <w:t>2.投标人的报价为一次性报价，即在投标有效期内投标价格固定不变。</w:t>
      </w:r>
    </w:p>
    <w:p>
      <w:pPr>
        <w:snapToGrid w:val="0"/>
        <w:spacing w:line="400" w:lineRule="exact"/>
        <w:ind w:left="3" w:leftChars="1" w:firstLine="480" w:firstLineChars="200"/>
        <w:rPr>
          <w:rFonts w:hint="eastAsia" w:ascii="仿宋" w:hAnsi="仿宋" w:eastAsia="仿宋"/>
          <w:sz w:val="24"/>
        </w:rPr>
      </w:pPr>
      <w:r>
        <w:rPr>
          <w:rFonts w:hint="eastAsia" w:ascii="仿宋" w:hAnsi="仿宋" w:eastAsia="仿宋"/>
          <w:sz w:val="24"/>
        </w:rPr>
        <w:t>3.本项目只接受一个投标报价，有选择的或有条件的报价将不予接受。</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（六）修正错误</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若投标文件出现计算或表达上的错误，修正错误的原则如下：</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1.投标文件中开标一览表（报价表）内容与投标文件中相应内容不一致的，以开标一览表（报价表）为准；</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2.大写金额和小写金额不一致的，以大写金额为准；</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3.单价金额小数点或者百分比有明显错位的，以开标一览表的总价为准，并修改单价；</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4.总价金额与按单价汇总金额不一致的，以单价金额计算结果为准。</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（七）投标文件的递交</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1.投标文件的密封与标记</w:t>
      </w:r>
    </w:p>
    <w:p>
      <w:pPr>
        <w:pStyle w:val="30"/>
        <w:spacing w:line="400" w:lineRule="exact"/>
        <w:ind w:firstLine="480" w:firstLineChars="200"/>
        <w:rPr>
          <w:rFonts w:ascii="仿宋" w:hAnsi="仿宋" w:eastAsia="仿宋"/>
          <w:sz w:val="24"/>
        </w:rPr>
      </w:pPr>
      <w:r>
        <w:rPr>
          <w:rFonts w:hint="eastAsia" w:ascii="仿宋" w:hAnsi="仿宋" w:eastAsia="仿宋"/>
          <w:sz w:val="24"/>
        </w:rPr>
        <w:t>投标文件的正本、副本均应分别密封送达投标地点，应在封套上注明项目名称、投标人名称，还应在封套上注明“正本”、“副本”字样。</w:t>
      </w:r>
      <w:bookmarkStart w:id="37" w:name="OLE_LINK3"/>
      <w:r>
        <w:rPr>
          <w:rFonts w:hint="eastAsia" w:ascii="仿宋" w:hAnsi="仿宋" w:eastAsia="仿宋"/>
          <w:sz w:val="24"/>
        </w:rPr>
        <w:t>封套的封口处应加盖投标人公章或由法定代表人授权代表签字。</w:t>
      </w:r>
      <w:bookmarkEnd w:id="37"/>
      <w:r>
        <w:rPr>
          <w:rFonts w:hint="eastAsia" w:ascii="仿宋" w:hAnsi="仿宋" w:eastAsia="仿宋"/>
          <w:sz w:val="24"/>
        </w:rPr>
        <w:t>未按上述要求密封、标记的，采购人、采购代理机构应当拒收。</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2.如果投标文件通过邮寄递交，投标人应将投标文件用内、外两层封套密封。</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3.如果未按上述规定进行密封和标记，采购代理机构对投标文件误投、丢失或提前拆封不负责任。</w:t>
      </w:r>
    </w:p>
    <w:p>
      <w:pPr>
        <w:pStyle w:val="4"/>
        <w:spacing w:line="400" w:lineRule="exact"/>
        <w:ind w:firstLine="482" w:firstLineChars="200"/>
        <w:rPr>
          <w:rFonts w:hint="eastAsia" w:ascii="仿宋" w:hAnsi="仿宋" w:eastAsia="仿宋"/>
          <w:b/>
          <w:sz w:val="24"/>
        </w:rPr>
      </w:pPr>
      <w:bookmarkStart w:id="38" w:name="_Toc8033"/>
      <w:r>
        <w:rPr>
          <w:rFonts w:hint="eastAsia" w:ascii="仿宋" w:hAnsi="仿宋" w:eastAsia="仿宋"/>
          <w:b/>
          <w:sz w:val="24"/>
          <w:lang w:eastAsia="zh-CN"/>
        </w:rPr>
        <w:t>四</w:t>
      </w:r>
      <w:r>
        <w:rPr>
          <w:rFonts w:hint="eastAsia" w:ascii="仿宋" w:hAnsi="仿宋" w:eastAsia="仿宋"/>
          <w:b/>
          <w:sz w:val="24"/>
        </w:rPr>
        <w:t>、开标</w:t>
      </w:r>
      <w:bookmarkEnd w:id="38"/>
    </w:p>
    <w:p>
      <w:pPr>
        <w:spacing w:line="400" w:lineRule="exact"/>
        <w:ind w:firstLine="480" w:firstLineChars="200"/>
        <w:rPr>
          <w:rFonts w:hint="eastAsia" w:ascii="仿宋" w:hAnsi="仿宋" w:eastAsia="仿宋"/>
          <w:sz w:val="24"/>
        </w:rPr>
      </w:pPr>
      <w:r>
        <w:rPr>
          <w:rFonts w:hint="eastAsia" w:ascii="仿宋" w:hAnsi="仿宋" w:eastAsia="仿宋"/>
          <w:sz w:val="24"/>
        </w:rPr>
        <w:t>（一）开标应当在招标文件中“投标邀请书”确定的时间和地点公开进行。</w:t>
      </w:r>
    </w:p>
    <w:p>
      <w:pPr>
        <w:spacing w:line="400" w:lineRule="exact"/>
        <w:ind w:firstLine="480" w:firstLineChars="200"/>
        <w:rPr>
          <w:rFonts w:hint="eastAsia" w:ascii="仿宋" w:hAnsi="仿宋" w:eastAsia="仿宋"/>
          <w:sz w:val="24"/>
        </w:rPr>
      </w:pPr>
      <w:r>
        <w:rPr>
          <w:rFonts w:hint="eastAsia" w:ascii="仿宋" w:hAnsi="仿宋" w:eastAsia="仿宋"/>
          <w:sz w:val="24"/>
        </w:rPr>
        <w:t>（二）采购代理机构可视采购具体情况，延长投标截止时间和开标时间，但至少在招标文件要求提交投标文件的截止时间三日前，将变更时间以书面或公告的形式通知所有潜在投标人。</w:t>
      </w:r>
    </w:p>
    <w:p>
      <w:pPr>
        <w:spacing w:line="400" w:lineRule="exact"/>
        <w:ind w:firstLine="480" w:firstLineChars="200"/>
        <w:rPr>
          <w:rFonts w:hint="eastAsia" w:ascii="仿宋" w:hAnsi="仿宋" w:eastAsia="仿宋"/>
          <w:sz w:val="24"/>
        </w:rPr>
      </w:pPr>
      <w:r>
        <w:rPr>
          <w:rFonts w:hint="eastAsia" w:ascii="仿宋" w:hAnsi="仿宋" w:eastAsia="仿宋"/>
          <w:sz w:val="24"/>
        </w:rPr>
        <w:t>（三）开标由采购人或采购代理机构主持，邀请投标人和有关监督部门代表参加,有关监督部门可视情况派员现场监督。</w:t>
      </w:r>
    </w:p>
    <w:p>
      <w:pPr>
        <w:spacing w:line="400" w:lineRule="exact"/>
        <w:ind w:firstLine="480" w:firstLineChars="200"/>
        <w:rPr>
          <w:rFonts w:hint="eastAsia" w:ascii="仿宋" w:hAnsi="仿宋" w:eastAsia="仿宋"/>
          <w:sz w:val="24"/>
        </w:rPr>
      </w:pPr>
      <w:r>
        <w:rPr>
          <w:rFonts w:hint="eastAsia" w:ascii="仿宋" w:hAnsi="仿宋" w:eastAsia="仿宋"/>
          <w:sz w:val="24"/>
        </w:rPr>
        <w:t>（四）</w:t>
      </w:r>
      <w:r>
        <w:rPr>
          <w:rFonts w:hint="eastAsia" w:ascii="仿宋" w:hAnsi="仿宋" w:eastAsia="仿宋" w:cs="仿宋"/>
          <w:sz w:val="24"/>
        </w:rPr>
        <w:t>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pPr>
        <w:spacing w:line="400" w:lineRule="exact"/>
        <w:ind w:firstLine="480" w:firstLineChars="200"/>
        <w:rPr>
          <w:rFonts w:hint="eastAsia" w:ascii="仿宋" w:hAnsi="仿宋" w:eastAsia="仿宋"/>
          <w:sz w:val="24"/>
        </w:rPr>
      </w:pPr>
      <w:r>
        <w:rPr>
          <w:rFonts w:hint="eastAsia" w:ascii="仿宋" w:hAnsi="仿宋" w:eastAsia="仿宋"/>
          <w:sz w:val="24"/>
        </w:rPr>
        <w:t>（五）未宣读的投标价格、价格折扣和招标文件允许提供的备选投标方案等实质性内容等，评标时不予承认。</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（六）开标过程应由采购人或代理机构指定专人负责记录，并存档备查。</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（七）投标人未参加开标的，视同认可开标结果。</w:t>
      </w:r>
    </w:p>
    <w:p>
      <w:pPr>
        <w:pStyle w:val="4"/>
        <w:spacing w:line="400" w:lineRule="exact"/>
        <w:ind w:firstLine="482" w:firstLineChars="200"/>
        <w:rPr>
          <w:rFonts w:hint="eastAsia" w:ascii="仿宋" w:hAnsi="仿宋" w:eastAsia="仿宋"/>
          <w:b/>
          <w:sz w:val="24"/>
        </w:rPr>
      </w:pPr>
      <w:bookmarkStart w:id="39" w:name="_Toc32459"/>
      <w:r>
        <w:rPr>
          <w:rFonts w:hint="eastAsia" w:ascii="仿宋" w:hAnsi="仿宋" w:eastAsia="仿宋"/>
          <w:b/>
          <w:sz w:val="24"/>
          <w:lang w:eastAsia="zh-CN"/>
        </w:rPr>
        <w:t>五</w:t>
      </w:r>
      <w:r>
        <w:rPr>
          <w:rFonts w:hint="eastAsia" w:ascii="仿宋" w:hAnsi="仿宋" w:eastAsia="仿宋"/>
          <w:b/>
          <w:sz w:val="24"/>
        </w:rPr>
        <w:t>、评标</w:t>
      </w:r>
      <w:bookmarkEnd w:id="39"/>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见第四篇“评标”内容。</w:t>
      </w:r>
    </w:p>
    <w:p>
      <w:pPr>
        <w:pStyle w:val="4"/>
        <w:spacing w:line="400" w:lineRule="exact"/>
        <w:ind w:firstLine="482" w:firstLineChars="200"/>
        <w:rPr>
          <w:rFonts w:hint="eastAsia" w:ascii="仿宋" w:hAnsi="仿宋" w:eastAsia="仿宋"/>
          <w:b/>
          <w:sz w:val="24"/>
        </w:rPr>
      </w:pPr>
      <w:bookmarkStart w:id="40" w:name="_Toc29295"/>
      <w:r>
        <w:rPr>
          <w:rFonts w:hint="eastAsia" w:ascii="仿宋" w:hAnsi="仿宋" w:eastAsia="仿宋"/>
          <w:b/>
          <w:sz w:val="24"/>
          <w:lang w:eastAsia="zh-CN"/>
        </w:rPr>
        <w:t>六</w:t>
      </w:r>
      <w:r>
        <w:rPr>
          <w:rFonts w:hint="eastAsia" w:ascii="仿宋" w:hAnsi="仿宋" w:eastAsia="仿宋"/>
          <w:b/>
          <w:sz w:val="24"/>
        </w:rPr>
        <w:t>、定标</w:t>
      </w:r>
      <w:bookmarkEnd w:id="40"/>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（一）定标原则</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采购人或其授权的评标委员会应按照评标报告中推荐的中标候选人排名顺序确定中标人。</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（二）定标程序</w:t>
      </w:r>
    </w:p>
    <w:p>
      <w:pPr>
        <w:pStyle w:val="30"/>
        <w:spacing w:line="400" w:lineRule="exact"/>
        <w:ind w:firstLine="480" w:firstLineChars="200"/>
        <w:rPr>
          <w:rFonts w:hint="eastAsia" w:ascii="仿宋" w:hAnsi="仿宋" w:eastAsia="仿宋" w:cs="仿宋"/>
          <w:sz w:val="24"/>
        </w:rPr>
      </w:pPr>
      <w:r>
        <w:rPr>
          <w:rFonts w:hint="eastAsia" w:ascii="仿宋" w:hAnsi="仿宋" w:eastAsia="仿宋" w:cs="仿宋"/>
          <w:sz w:val="24"/>
        </w:rPr>
        <w:t>1.采购代理机构应当在评标结束后2个工作日内将评标报告送采购人。</w:t>
      </w:r>
    </w:p>
    <w:p>
      <w:pPr>
        <w:pStyle w:val="30"/>
        <w:spacing w:line="400" w:lineRule="exact"/>
        <w:ind w:firstLine="480" w:firstLineChars="200"/>
        <w:rPr>
          <w:rStyle w:val="65"/>
          <w:rFonts w:hint="eastAsia" w:ascii="仿宋" w:hAnsi="仿宋" w:eastAsia="仿宋" w:cs="仿宋"/>
          <w:kern w:val="0"/>
          <w:lang w:eastAsia="zh-TW"/>
        </w:rPr>
      </w:pPr>
      <w:r>
        <w:rPr>
          <w:rFonts w:hint="eastAsia" w:ascii="仿宋" w:hAnsi="仿宋" w:eastAsia="仿宋" w:cs="仿宋"/>
          <w:sz w:val="24"/>
        </w:rPr>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0"/>
        <w:spacing w:line="400" w:lineRule="exact"/>
        <w:ind w:firstLine="480" w:firstLineChars="200"/>
        <w:rPr>
          <w:rFonts w:hint="eastAsia" w:ascii="仿宋" w:hAnsi="仿宋" w:eastAsia="仿宋" w:cs="仿宋"/>
          <w:sz w:val="24"/>
        </w:rPr>
      </w:pPr>
      <w:r>
        <w:rPr>
          <w:rFonts w:hint="eastAsia" w:ascii="仿宋" w:hAnsi="仿宋" w:eastAsia="仿宋" w:cs="仿宋"/>
          <w:sz w:val="24"/>
        </w:rPr>
        <w:t>3.采购人或者采购代理机构应当自中标人确定之日起2个工作日内，在重庆市万州高级技工学校网站上公告中标结果。中标公告期限为1个工作日。</w:t>
      </w:r>
    </w:p>
    <w:p>
      <w:pPr>
        <w:pStyle w:val="30"/>
        <w:spacing w:line="400" w:lineRule="exact"/>
        <w:ind w:firstLine="480" w:firstLineChars="200"/>
        <w:rPr>
          <w:rFonts w:hint="eastAsia" w:ascii="仿宋" w:hAnsi="仿宋" w:eastAsia="仿宋" w:cs="仿宋"/>
          <w:sz w:val="24"/>
        </w:rPr>
      </w:pPr>
      <w:r>
        <w:rPr>
          <w:rFonts w:hint="eastAsia" w:ascii="仿宋" w:hAnsi="仿宋" w:eastAsia="仿宋" w:cs="仿宋"/>
          <w:sz w:val="24"/>
        </w:rPr>
        <w:t>4.中标人变更</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中标人拒绝与采购人签订合同的，采购人可以按照评标报告推荐的中标候选人顺序，确定排名下一位的候选人为中标人，也可以重新开展政府采购活动。</w:t>
      </w:r>
    </w:p>
    <w:p>
      <w:pPr>
        <w:pStyle w:val="4"/>
        <w:spacing w:line="400" w:lineRule="exact"/>
        <w:ind w:firstLine="482" w:firstLineChars="200"/>
        <w:rPr>
          <w:rFonts w:hint="eastAsia" w:ascii="仿宋" w:hAnsi="仿宋" w:eastAsia="仿宋"/>
          <w:b/>
          <w:sz w:val="24"/>
        </w:rPr>
      </w:pPr>
      <w:bookmarkStart w:id="41" w:name="_Toc29128"/>
      <w:r>
        <w:rPr>
          <w:rFonts w:hint="eastAsia" w:ascii="仿宋" w:hAnsi="仿宋" w:eastAsia="仿宋"/>
          <w:b/>
          <w:sz w:val="24"/>
          <w:lang w:eastAsia="zh-CN"/>
        </w:rPr>
        <w:t>七</w:t>
      </w:r>
      <w:r>
        <w:rPr>
          <w:rFonts w:hint="eastAsia" w:ascii="仿宋" w:hAnsi="仿宋" w:eastAsia="仿宋"/>
          <w:b/>
          <w:sz w:val="24"/>
        </w:rPr>
        <w:t>、中标通知书</w:t>
      </w:r>
      <w:bookmarkEnd w:id="41"/>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（一）采购人依法确定中标人后，采购代理机构以书面形式发出中标通知书。</w:t>
      </w:r>
    </w:p>
    <w:p>
      <w:pPr>
        <w:snapToGrid w:val="0"/>
        <w:spacing w:line="400" w:lineRule="exact"/>
        <w:ind w:firstLine="480" w:firstLineChars="200"/>
        <w:rPr>
          <w:rFonts w:hint="eastAsia" w:ascii="仿宋" w:hAnsi="仿宋" w:eastAsia="仿宋"/>
          <w:sz w:val="24"/>
        </w:rPr>
      </w:pPr>
      <w:r>
        <w:rPr>
          <w:rFonts w:hint="eastAsia" w:ascii="仿宋" w:hAnsi="仿宋" w:eastAsia="仿宋"/>
          <w:sz w:val="24"/>
        </w:rPr>
        <w:t>（二）中标通知书发出后，采购人改变中标结果，或者中标人放弃中标，应当承担相应的法律责任。</w:t>
      </w:r>
    </w:p>
    <w:p>
      <w:pPr>
        <w:pStyle w:val="4"/>
        <w:spacing w:line="400" w:lineRule="exact"/>
        <w:ind w:firstLine="482" w:firstLineChars="200"/>
        <w:rPr>
          <w:rFonts w:hint="eastAsia" w:ascii="仿宋" w:hAnsi="仿宋" w:eastAsia="仿宋"/>
          <w:b/>
          <w:sz w:val="24"/>
        </w:rPr>
      </w:pPr>
      <w:bookmarkStart w:id="42" w:name="_Toc29978"/>
      <w:r>
        <w:rPr>
          <w:rFonts w:hint="eastAsia" w:ascii="仿宋" w:hAnsi="仿宋" w:eastAsia="仿宋"/>
          <w:b/>
          <w:sz w:val="24"/>
          <w:lang w:eastAsia="zh-CN"/>
        </w:rPr>
        <w:t>八</w:t>
      </w:r>
      <w:r>
        <w:rPr>
          <w:rFonts w:hint="eastAsia" w:ascii="仿宋" w:hAnsi="仿宋" w:eastAsia="仿宋"/>
          <w:b/>
          <w:sz w:val="24"/>
        </w:rPr>
        <w:t>、</w:t>
      </w:r>
      <w:r>
        <w:rPr>
          <w:rFonts w:hint="eastAsia" w:ascii="仿宋" w:hAnsi="仿宋" w:eastAsia="仿宋" w:cs="仿宋"/>
          <w:b/>
          <w:sz w:val="24"/>
        </w:rPr>
        <w:t>询问、质疑和投诉</w:t>
      </w:r>
      <w:bookmarkEnd w:id="42"/>
    </w:p>
    <w:p>
      <w:pPr>
        <w:spacing w:line="400" w:lineRule="exact"/>
        <w:ind w:right="12" w:firstLine="480"/>
        <w:rPr>
          <w:rFonts w:hint="eastAsia" w:ascii="仿宋" w:hAnsi="仿宋" w:eastAsia="仿宋" w:cs="仿宋"/>
          <w:sz w:val="24"/>
        </w:rPr>
      </w:pPr>
      <w:r>
        <w:rPr>
          <w:rFonts w:hint="eastAsia" w:ascii="仿宋" w:hAnsi="仿宋" w:eastAsia="仿宋" w:cs="仿宋"/>
          <w:sz w:val="24"/>
        </w:rPr>
        <w:t>（一）询问</w:t>
      </w:r>
    </w:p>
    <w:p>
      <w:pPr>
        <w:spacing w:line="400" w:lineRule="exact"/>
        <w:ind w:right="12" w:firstLine="480"/>
        <w:rPr>
          <w:rFonts w:hint="eastAsia" w:ascii="仿宋" w:hAnsi="仿宋" w:eastAsia="仿宋" w:cs="仿宋"/>
          <w:sz w:val="24"/>
        </w:rPr>
      </w:pPr>
      <w:r>
        <w:rPr>
          <w:rFonts w:hint="eastAsia" w:ascii="仿宋" w:hAnsi="仿宋" w:eastAsia="仿宋" w:cs="仿宋"/>
          <w:sz w:val="24"/>
        </w:rPr>
        <w:t>采购人或者采购代理机构应当在3个工作日内对投标人依法提出的询问作出答复。投标人询问可以是口头或书面形式。</w:t>
      </w:r>
    </w:p>
    <w:p>
      <w:pPr>
        <w:spacing w:line="400" w:lineRule="exact"/>
        <w:ind w:right="12" w:firstLine="480"/>
        <w:rPr>
          <w:rFonts w:hint="eastAsia" w:ascii="仿宋" w:hAnsi="仿宋" w:eastAsia="仿宋" w:cs="仿宋"/>
          <w:sz w:val="24"/>
        </w:rPr>
      </w:pPr>
      <w:r>
        <w:rPr>
          <w:rFonts w:hint="eastAsia" w:ascii="仿宋" w:hAnsi="仿宋" w:eastAsia="仿宋" w:cs="仿宋"/>
          <w:sz w:val="24"/>
        </w:rPr>
        <w:t>（二）质疑</w:t>
      </w:r>
    </w:p>
    <w:p>
      <w:pPr>
        <w:spacing w:line="400" w:lineRule="exact"/>
        <w:ind w:right="12" w:firstLine="480"/>
        <w:rPr>
          <w:rFonts w:hint="eastAsia" w:ascii="仿宋" w:hAnsi="仿宋" w:eastAsia="仿宋" w:cs="仿宋"/>
          <w:sz w:val="24"/>
        </w:rPr>
      </w:pPr>
      <w:r>
        <w:rPr>
          <w:rFonts w:hint="eastAsia" w:ascii="仿宋" w:hAnsi="仿宋" w:eastAsia="仿宋" w:cs="仿宋"/>
          <w:sz w:val="24"/>
        </w:rPr>
        <w:t>1.质疑内容、时限</w:t>
      </w:r>
    </w:p>
    <w:p>
      <w:pPr>
        <w:spacing w:line="400" w:lineRule="exact"/>
        <w:ind w:right="12" w:firstLine="480"/>
        <w:rPr>
          <w:rFonts w:hint="eastAsia" w:ascii="仿宋" w:hAnsi="仿宋" w:eastAsia="仿宋" w:cs="仿宋"/>
          <w:sz w:val="24"/>
        </w:rPr>
      </w:pPr>
      <w:r>
        <w:rPr>
          <w:rFonts w:hint="eastAsia" w:ascii="仿宋" w:hAnsi="仿宋" w:eastAsia="仿宋" w:cs="仿宋"/>
          <w:sz w:val="24"/>
        </w:rPr>
        <w:t>1.1招标文件公告期限为采购公告发出之日起五个工作日，投标人对招标文件提出质疑的，应在招标文件公告期限届满之日起七个工作日内以书面形式向采购人提出，并附相关证明材料（包括营业执照复印件、法人身份证明复印件、授权委托书原件、被授权人身份证明复印件、质疑证明材料），质疑模板请自行在重庆市政府采购网上下载。</w:t>
      </w:r>
    </w:p>
    <w:p>
      <w:pPr>
        <w:spacing w:line="400" w:lineRule="exact"/>
        <w:ind w:right="12" w:firstLine="480"/>
        <w:rPr>
          <w:rFonts w:hint="eastAsia" w:ascii="仿宋" w:hAnsi="仿宋" w:eastAsia="仿宋" w:cs="仿宋"/>
          <w:sz w:val="24"/>
        </w:rPr>
      </w:pPr>
      <w:r>
        <w:rPr>
          <w:rFonts w:hint="eastAsia" w:ascii="仿宋" w:hAnsi="仿宋" w:eastAsia="仿宋" w:cs="仿宋"/>
          <w:sz w:val="24"/>
        </w:rPr>
        <w:t>1.2 投标人对采购过程提出质疑的，应在各采购程序环节结束之日起七个工作日内以书面形式向采购人、采购代理机构提出，并附相关证明材料（包括营业执照复印件、法人身份证明复印件、授权委托书原件、被授权人身份证明复印件、质疑证明材料），质疑模板请自行在重庆市政府采购网上下载。</w:t>
      </w:r>
    </w:p>
    <w:p>
      <w:pPr>
        <w:spacing w:line="400" w:lineRule="exact"/>
        <w:ind w:right="12" w:firstLine="480"/>
        <w:rPr>
          <w:rFonts w:hint="eastAsia" w:ascii="仿宋" w:hAnsi="仿宋" w:eastAsia="仿宋" w:cs="仿宋"/>
          <w:sz w:val="24"/>
        </w:rPr>
      </w:pPr>
      <w:r>
        <w:rPr>
          <w:rFonts w:hint="eastAsia" w:ascii="仿宋" w:hAnsi="仿宋" w:eastAsia="仿宋" w:cs="仿宋"/>
          <w:sz w:val="24"/>
        </w:rPr>
        <w:t>1.3中标结果公告期限为中标结果公告发出之日起一个工作日，投标人对中标结果如有异议的，应当在中标结果公告期限届满之日起七个工作日内以书面形式向采购人提出质疑，并附相关证明材料（包括营业执照复印件、法人身份证明复印件、授权委托书原件、被授权人身份证明复印件、质疑证明材料），质疑模板请自行在重庆市政府采购网上下载。</w:t>
      </w:r>
    </w:p>
    <w:p>
      <w:pPr>
        <w:spacing w:line="400" w:lineRule="exact"/>
        <w:ind w:right="12" w:firstLine="480"/>
        <w:rPr>
          <w:rFonts w:hint="eastAsia" w:ascii="仿宋" w:hAnsi="仿宋" w:eastAsia="仿宋" w:cs="仿宋"/>
          <w:sz w:val="24"/>
        </w:rPr>
      </w:pPr>
      <w:r>
        <w:rPr>
          <w:rFonts w:hint="eastAsia" w:ascii="仿宋" w:hAnsi="仿宋" w:eastAsia="仿宋" w:cs="仿宋"/>
          <w:sz w:val="24"/>
        </w:rPr>
        <w:t>1.4投标人对除开评标过程以外的质疑，应向采购人提出质疑。</w:t>
      </w:r>
    </w:p>
    <w:p>
      <w:pPr>
        <w:spacing w:line="400" w:lineRule="exact"/>
        <w:ind w:right="12" w:firstLine="480"/>
        <w:rPr>
          <w:rFonts w:hint="eastAsia" w:ascii="仿宋" w:hAnsi="仿宋" w:eastAsia="仿宋" w:cs="仿宋"/>
          <w:sz w:val="24"/>
        </w:rPr>
      </w:pPr>
      <w:r>
        <w:rPr>
          <w:rFonts w:hint="eastAsia" w:ascii="仿宋" w:hAnsi="仿宋" w:eastAsia="仿宋" w:cs="仿宋"/>
          <w:sz w:val="24"/>
        </w:rPr>
        <w:t>1.5 供应商应在法定质疑期内一次性提出针对同一采购程序环节的质疑。</w:t>
      </w:r>
    </w:p>
    <w:p>
      <w:pPr>
        <w:spacing w:line="400" w:lineRule="exact"/>
        <w:ind w:right="12" w:firstLine="480"/>
        <w:rPr>
          <w:rFonts w:hint="eastAsia" w:ascii="仿宋" w:hAnsi="仿宋" w:eastAsia="仿宋" w:cs="仿宋"/>
          <w:sz w:val="24"/>
        </w:rPr>
      </w:pPr>
      <w:r>
        <w:rPr>
          <w:rFonts w:hint="eastAsia" w:ascii="仿宋" w:hAnsi="仿宋" w:eastAsia="仿宋" w:cs="仿宋"/>
          <w:sz w:val="24"/>
        </w:rPr>
        <w:t>1.6 质疑文件的递交：一式两份，采购人和采购代理机构各一份。</w:t>
      </w:r>
    </w:p>
    <w:p>
      <w:pPr>
        <w:spacing w:line="400" w:lineRule="exact"/>
        <w:ind w:right="12" w:firstLine="480"/>
        <w:rPr>
          <w:rFonts w:hint="eastAsia" w:ascii="仿宋" w:hAnsi="仿宋" w:eastAsia="仿宋" w:cs="仿宋"/>
          <w:sz w:val="24"/>
        </w:rPr>
      </w:pPr>
      <w:r>
        <w:rPr>
          <w:rFonts w:hint="eastAsia" w:ascii="仿宋" w:hAnsi="仿宋" w:eastAsia="仿宋" w:cs="仿宋"/>
          <w:sz w:val="24"/>
        </w:rPr>
        <w:t>2.质疑答复</w:t>
      </w:r>
    </w:p>
    <w:p>
      <w:pPr>
        <w:spacing w:line="400" w:lineRule="exact"/>
        <w:ind w:right="12" w:firstLine="480"/>
        <w:rPr>
          <w:rFonts w:hint="eastAsia" w:ascii="仿宋" w:hAnsi="仿宋" w:eastAsia="仿宋" w:cs="仿宋"/>
          <w:sz w:val="24"/>
        </w:rPr>
      </w:pPr>
      <w:r>
        <w:rPr>
          <w:rFonts w:hint="eastAsia" w:ascii="仿宋" w:hAnsi="仿宋" w:eastAsia="仿宋" w:cs="仿宋"/>
          <w:sz w:val="24"/>
        </w:rPr>
        <w:t>采购人或采购代理机构应当在收到投标人的书面质疑后七个工作日内作出答复，并以书面形式通知质疑投标人和其他有关投标人。</w:t>
      </w:r>
    </w:p>
    <w:p>
      <w:pPr>
        <w:spacing w:line="400" w:lineRule="exact"/>
        <w:ind w:right="12" w:firstLine="480"/>
        <w:rPr>
          <w:rFonts w:hint="eastAsia" w:ascii="仿宋" w:hAnsi="仿宋" w:eastAsia="仿宋" w:cs="仿宋"/>
          <w:sz w:val="24"/>
        </w:rPr>
      </w:pPr>
      <w:r>
        <w:rPr>
          <w:rFonts w:hint="eastAsia" w:ascii="仿宋" w:hAnsi="仿宋" w:eastAsia="仿宋" w:cs="仿宋"/>
          <w:sz w:val="24"/>
        </w:rPr>
        <w:t>（三）投诉</w:t>
      </w:r>
    </w:p>
    <w:p>
      <w:pPr>
        <w:spacing w:line="400" w:lineRule="exact"/>
        <w:ind w:right="12" w:firstLine="480"/>
        <w:rPr>
          <w:rFonts w:hint="eastAsia" w:ascii="仿宋" w:hAnsi="仿宋" w:eastAsia="仿宋" w:cs="仿宋"/>
          <w:sz w:val="24"/>
        </w:rPr>
      </w:pPr>
      <w:r>
        <w:rPr>
          <w:rFonts w:hint="eastAsia" w:ascii="仿宋" w:hAnsi="仿宋" w:eastAsia="仿宋" w:cs="仿宋"/>
          <w:sz w:val="24"/>
        </w:rPr>
        <w:t>1.投标人对采购人、采购代理机构的答复不满意，或者采购人、采购代理机构未在规定时间内答复的，可在答复期满后十五个工作日内按有关规定，向同级财政部门投诉。</w:t>
      </w:r>
    </w:p>
    <w:p>
      <w:pPr>
        <w:spacing w:line="400" w:lineRule="exact"/>
        <w:ind w:right="12" w:firstLine="480"/>
        <w:rPr>
          <w:rFonts w:hint="eastAsia" w:ascii="仿宋" w:hAnsi="仿宋" w:eastAsia="仿宋" w:cs="仿宋"/>
          <w:sz w:val="24"/>
        </w:rPr>
      </w:pPr>
      <w:r>
        <w:rPr>
          <w:rFonts w:hint="eastAsia" w:ascii="仿宋" w:hAnsi="仿宋" w:eastAsia="仿宋" w:cs="仿宋"/>
          <w:sz w:val="24"/>
        </w:rPr>
        <w:t>2.在提出投诉时，应附送相关证明材料。投诉书及证明材料为外文的，应同时提供其中文译本；中文与外文意思不一致的，以中文为准。</w:t>
      </w:r>
    </w:p>
    <w:p>
      <w:pPr>
        <w:snapToGrid w:val="0"/>
        <w:spacing w:line="400" w:lineRule="exact"/>
        <w:ind w:firstLine="480" w:firstLineChars="200"/>
        <w:rPr>
          <w:rFonts w:hint="eastAsia" w:ascii="仿宋" w:hAnsi="仿宋" w:eastAsia="仿宋"/>
          <w:sz w:val="24"/>
        </w:rPr>
      </w:pPr>
      <w:r>
        <w:rPr>
          <w:rFonts w:hint="eastAsia" w:ascii="仿宋" w:hAnsi="仿宋" w:eastAsia="仿宋" w:cs="仿宋"/>
          <w:sz w:val="24"/>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4"/>
        <w:spacing w:line="400" w:lineRule="exact"/>
        <w:ind w:firstLine="482" w:firstLineChars="200"/>
        <w:rPr>
          <w:rFonts w:hint="eastAsia" w:ascii="仿宋" w:hAnsi="仿宋" w:eastAsia="仿宋"/>
          <w:b/>
          <w:sz w:val="24"/>
          <w:lang w:eastAsia="zh-CN"/>
        </w:rPr>
      </w:pPr>
      <w:bookmarkStart w:id="43" w:name="_Toc30334"/>
      <w:r>
        <w:rPr>
          <w:rFonts w:hint="eastAsia" w:ascii="仿宋" w:hAnsi="仿宋" w:eastAsia="仿宋"/>
          <w:b/>
          <w:sz w:val="24"/>
          <w:lang w:val="en-US" w:eastAsia="zh-CN"/>
        </w:rPr>
        <w:t>九、采购代理服务费</w:t>
      </w:r>
    </w:p>
    <w:p>
      <w:pPr>
        <w:pStyle w:val="4"/>
        <w:spacing w:line="400" w:lineRule="exact"/>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成交供应商在成交通知书领取时，采购代理机构按招标文件中的约定向成交供应商收取采购代理服务费 。其中：</w:t>
      </w:r>
    </w:p>
    <w:p>
      <w:pPr>
        <w:pStyle w:val="4"/>
        <w:spacing w:line="400" w:lineRule="exact"/>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4、副食成交供应商代理服务费为3</w:t>
      </w:r>
      <w:r>
        <w:rPr>
          <w:rFonts w:hint="eastAsia" w:ascii="仿宋" w:hAnsi="仿宋" w:eastAsia="仿宋" w:cs="仿宋"/>
          <w:sz w:val="24"/>
        </w:rPr>
        <w:t>000</w:t>
      </w:r>
      <w:r>
        <w:rPr>
          <w:rFonts w:hint="eastAsia" w:ascii="仿宋" w:hAnsi="仿宋" w:eastAsia="仿宋" w:cs="仿宋"/>
          <w:sz w:val="24"/>
          <w:lang w:val="en-US" w:eastAsia="zh-CN"/>
        </w:rPr>
        <w:t>元。</w:t>
      </w:r>
    </w:p>
    <w:p>
      <w:pPr>
        <w:pStyle w:val="4"/>
        <w:spacing w:line="400" w:lineRule="exact"/>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5、日化成交供应商代理服务费为3</w:t>
      </w:r>
      <w:r>
        <w:rPr>
          <w:rFonts w:hint="eastAsia" w:ascii="仿宋" w:hAnsi="仿宋" w:eastAsia="仿宋" w:cs="仿宋"/>
          <w:sz w:val="24"/>
        </w:rPr>
        <w:t>000</w:t>
      </w:r>
      <w:r>
        <w:rPr>
          <w:rFonts w:hint="eastAsia" w:ascii="仿宋" w:hAnsi="仿宋" w:eastAsia="仿宋" w:cs="仿宋"/>
          <w:sz w:val="24"/>
          <w:lang w:val="en-US" w:eastAsia="zh-CN"/>
        </w:rPr>
        <w:t>元。</w:t>
      </w:r>
    </w:p>
    <w:p>
      <w:pPr>
        <w:pStyle w:val="4"/>
        <w:spacing w:line="400" w:lineRule="exact"/>
        <w:ind w:firstLine="482" w:firstLineChars="200"/>
        <w:rPr>
          <w:rFonts w:hint="eastAsia" w:ascii="仿宋" w:hAnsi="仿宋" w:eastAsia="仿宋"/>
          <w:b/>
          <w:sz w:val="24"/>
        </w:rPr>
      </w:pPr>
      <w:r>
        <w:rPr>
          <w:rFonts w:hint="eastAsia" w:ascii="仿宋" w:hAnsi="仿宋" w:eastAsia="仿宋"/>
          <w:b/>
          <w:sz w:val="24"/>
          <w:lang w:val="en-US" w:eastAsia="zh-CN"/>
        </w:rPr>
        <w:t>十</w:t>
      </w:r>
      <w:r>
        <w:rPr>
          <w:rFonts w:hint="eastAsia" w:ascii="仿宋" w:hAnsi="仿宋" w:eastAsia="仿宋"/>
          <w:b/>
          <w:sz w:val="24"/>
        </w:rPr>
        <w:t>、签订合同</w:t>
      </w:r>
      <w:bookmarkEnd w:id="43"/>
    </w:p>
    <w:p>
      <w:pPr>
        <w:spacing w:line="400" w:lineRule="exact"/>
        <w:ind w:firstLine="480" w:firstLineChars="200"/>
        <w:rPr>
          <w:rFonts w:hint="eastAsia" w:ascii="仿宋" w:hAnsi="仿宋" w:eastAsia="仿宋"/>
          <w:sz w:val="24"/>
        </w:rPr>
      </w:pPr>
      <w:r>
        <w:rPr>
          <w:rFonts w:hint="eastAsia" w:ascii="仿宋" w:hAnsi="仿宋" w:eastAsia="仿宋"/>
          <w:sz w:val="24"/>
        </w:rPr>
        <w:t>（一）采购人应当自中标通知书发出之日起十日内，按照招标文件和中标人投标文件的约定，与中标人签订书面合同。所签订的合同不得对招标文件和中标人投标文件作实质性修改。</w:t>
      </w:r>
    </w:p>
    <w:p>
      <w:pPr>
        <w:spacing w:line="400" w:lineRule="exact"/>
        <w:ind w:firstLine="480" w:firstLineChars="200"/>
        <w:rPr>
          <w:rFonts w:hint="eastAsia" w:ascii="仿宋" w:hAnsi="仿宋" w:eastAsia="仿宋"/>
          <w:sz w:val="24"/>
        </w:rPr>
      </w:pPr>
      <w:r>
        <w:rPr>
          <w:rFonts w:hint="eastAsia" w:ascii="仿宋" w:hAnsi="仿宋" w:eastAsia="仿宋"/>
          <w:sz w:val="24"/>
        </w:rPr>
        <w:t>（二）</w:t>
      </w:r>
      <w:r>
        <w:rPr>
          <w:rFonts w:ascii="仿宋" w:hAnsi="仿宋" w:eastAsia="仿宋"/>
          <w:sz w:val="24"/>
        </w:rPr>
        <w:t>采购人应当自政府采购合同签订之日起2个工作日内，将政府采购合同在</w:t>
      </w:r>
      <w:r>
        <w:rPr>
          <w:rFonts w:hint="eastAsia" w:ascii="仿宋" w:hAnsi="仿宋" w:eastAsia="仿宋"/>
          <w:sz w:val="24"/>
        </w:rPr>
        <w:t>重庆市万州高级技工学校网站上</w:t>
      </w:r>
      <w:r>
        <w:rPr>
          <w:rFonts w:ascii="仿宋" w:hAnsi="仿宋" w:eastAsia="仿宋"/>
          <w:sz w:val="24"/>
        </w:rPr>
        <w:t>公告，但政府采购合同中涉及国家秘密、商业秘密的内容除外。</w:t>
      </w:r>
    </w:p>
    <w:p>
      <w:pPr>
        <w:spacing w:line="400" w:lineRule="exact"/>
        <w:ind w:firstLine="480" w:firstLineChars="200"/>
        <w:rPr>
          <w:rFonts w:hint="eastAsia" w:ascii="仿宋" w:hAnsi="仿宋" w:eastAsia="仿宋"/>
          <w:sz w:val="24"/>
        </w:rPr>
      </w:pPr>
      <w:r>
        <w:rPr>
          <w:rFonts w:hint="eastAsia" w:ascii="仿宋" w:hAnsi="仿宋" w:eastAsia="仿宋"/>
          <w:sz w:val="24"/>
        </w:rPr>
        <w:t>（三）招标文件、中标人的投标文件及澄清文件等，均为签订政府采购合同的依据。</w:t>
      </w:r>
    </w:p>
    <w:p>
      <w:pPr>
        <w:spacing w:line="400" w:lineRule="exact"/>
        <w:ind w:firstLine="480" w:firstLineChars="200"/>
        <w:rPr>
          <w:rFonts w:hint="eastAsia" w:ascii="仿宋" w:hAnsi="仿宋" w:eastAsia="仿宋"/>
          <w:sz w:val="24"/>
        </w:rPr>
      </w:pPr>
      <w:r>
        <w:rPr>
          <w:rFonts w:hint="eastAsia" w:ascii="仿宋" w:hAnsi="仿宋" w:eastAsia="仿宋"/>
          <w:sz w:val="24"/>
        </w:rPr>
        <w:t>（四）合同生效条款由供需双方约定，法律、行政法规规定应当办理批准、登记等手续后生效的合同，依照其规定。</w:t>
      </w:r>
    </w:p>
    <w:p>
      <w:pPr>
        <w:spacing w:line="400" w:lineRule="exact"/>
        <w:ind w:firstLine="480" w:firstLineChars="200"/>
        <w:rPr>
          <w:rFonts w:hint="eastAsia" w:ascii="仿宋" w:hAnsi="仿宋" w:eastAsia="仿宋"/>
          <w:sz w:val="24"/>
        </w:rPr>
      </w:pPr>
      <w:r>
        <w:rPr>
          <w:rFonts w:hint="eastAsia" w:ascii="仿宋" w:hAnsi="仿宋" w:eastAsia="仿宋"/>
          <w:sz w:val="24"/>
        </w:rPr>
        <w:t>（五）合同原则上应按照《重庆市政府采购合同》签订，相关单位要求适用合同通用格式版本的，应按其要求另行签订其他合同。</w:t>
      </w:r>
    </w:p>
    <w:p>
      <w:pPr>
        <w:spacing w:line="400" w:lineRule="exact"/>
        <w:ind w:firstLine="480" w:firstLineChars="200"/>
        <w:rPr>
          <w:rFonts w:hint="eastAsia" w:ascii="仿宋" w:hAnsi="仿宋" w:eastAsia="仿宋"/>
          <w:sz w:val="24"/>
        </w:rPr>
      </w:pPr>
      <w:r>
        <w:rPr>
          <w:rFonts w:hint="eastAsia" w:ascii="仿宋" w:hAnsi="仿宋" w:eastAsia="仿宋"/>
          <w:sz w:val="24"/>
        </w:rPr>
        <w:t>（六）采购人要求中标人提供履约保证金的，应当在招标文件中予以约定。中标人履约完毕后，采购人应按招标文件及合同的约定无息退还其履约保证金。</w:t>
      </w:r>
    </w:p>
    <w:p>
      <w:pPr>
        <w:spacing w:line="400" w:lineRule="exact"/>
        <w:ind w:firstLine="480" w:firstLineChars="200"/>
        <w:rPr>
          <w:rFonts w:ascii="仿宋" w:hAnsi="仿宋" w:eastAsia="仿宋"/>
          <w:sz w:val="24"/>
        </w:rPr>
      </w:pPr>
    </w:p>
    <w:p>
      <w:pPr>
        <w:pStyle w:val="3"/>
        <w:spacing w:before="0" w:beforeLines="0" w:after="0" w:afterLines="0" w:line="360" w:lineRule="auto"/>
        <w:rPr>
          <w:rFonts w:hint="eastAsia" w:ascii="仿宋" w:hAnsi="仿宋" w:eastAsia="仿宋"/>
          <w:b/>
        </w:rPr>
      </w:pPr>
      <w:r>
        <w:rPr>
          <w:rFonts w:ascii="仿宋" w:hAnsi="仿宋" w:eastAsia="仿宋"/>
        </w:rPr>
        <w:br w:type="page"/>
      </w:r>
      <w:bookmarkStart w:id="44" w:name="_Toc25082"/>
      <w:r>
        <w:rPr>
          <w:rFonts w:hint="eastAsia" w:ascii="仿宋" w:hAnsi="仿宋" w:eastAsia="仿宋"/>
          <w:b/>
        </w:rPr>
        <w:t>第六篇  合同主要条款和格式合同（样本）</w:t>
      </w:r>
      <w:bookmarkEnd w:id="44"/>
    </w:p>
    <w:p>
      <w:pPr>
        <w:pStyle w:val="4"/>
        <w:spacing w:line="500" w:lineRule="exact"/>
        <w:ind w:firstLine="482" w:firstLineChars="200"/>
        <w:rPr>
          <w:rFonts w:hint="eastAsia" w:ascii="仿宋" w:hAnsi="仿宋" w:eastAsia="仿宋"/>
          <w:b/>
          <w:sz w:val="24"/>
        </w:rPr>
      </w:pPr>
      <w:bookmarkStart w:id="45" w:name="_Toc277084870"/>
      <w:bookmarkStart w:id="46" w:name="_Toc285722712"/>
      <w:bookmarkStart w:id="47" w:name="_Toc23428"/>
      <w:r>
        <w:rPr>
          <w:rFonts w:hint="eastAsia" w:ascii="仿宋" w:hAnsi="仿宋" w:eastAsia="仿宋"/>
          <w:b/>
          <w:sz w:val="24"/>
        </w:rPr>
        <w:t>一、合同主要条款</w:t>
      </w:r>
      <w:bookmarkEnd w:id="45"/>
      <w:bookmarkEnd w:id="46"/>
      <w:bookmarkEnd w:id="47"/>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1.定义</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1.1甲方（需方）即采购人，是指通过招标采购，接受合同货物及服务的各级国家机关、事业单位和团体组织。</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1.2乙方（供方）即中标人，是指中标后提供合同货物和服务的自然人、法人及其他组织。</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1.3合同是指由甲乙双方按照招标文件和投标文件的实质性内容，通过协商一致达成的书面协议。</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1.4合同价格指以中标价格为依据，在供方全面履行合同义务后，需方（或财政部门）应支付给供方的金额。</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1.5技术资料是指合同货物及其相关的设计、制造、监造、检验、验收等文件（包括图纸、各种文字说明、标准）。</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2.货物内容</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合同包括以下内容：货物名称、型号规格、技术参数、数量（单位）等内容。</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3.合同价格</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3.1合同价格即合同总价。</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3.2合同价格包括合同货物、技术资料、合同货物的税费、运杂费、保险费、包装费、装卸费及与货物有关的供方应纳的税费，所有税费由乙方负担。</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3.3合同货物单价为不变价。</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4.转包或分包</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4.1本合同范围的货物，应由乙方直接供应，不得转让他人供应；</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4.2非经甲方书面同意，乙方不得将本合同范围的货物全部或部分分包给他人供应；</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4.3如有转让和未经甲方同意的分包行为，甲方有权解除合同，没收履约保证金并追究乙方的违约责任。</w:t>
      </w:r>
    </w:p>
    <w:p>
      <w:pPr>
        <w:pStyle w:val="30"/>
        <w:spacing w:line="400" w:lineRule="exact"/>
        <w:ind w:firstLine="480" w:firstLineChars="200"/>
        <w:rPr>
          <w:rFonts w:hint="eastAsia" w:ascii="仿宋" w:hAnsi="仿宋" w:eastAsia="仿宋"/>
          <w:sz w:val="24"/>
        </w:rPr>
      </w:pPr>
      <w:r>
        <w:rPr>
          <w:rFonts w:hint="eastAsia" w:ascii="仿宋" w:hAnsi="仿宋" w:eastAsia="仿宋"/>
          <w:bCs/>
          <w:sz w:val="24"/>
        </w:rPr>
        <w:t>5.质量保证及售后服务</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5.1乙方应按招标文件规定的货物性能、技术要求、质量标准向甲方提供未经使用的全新产品。</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5.2乙方提供的货物在质保期内因货物本身的质量问题发生故障，乙方应负责免费更换。对达不到技术要求者，根据实际情况，经双方协商，可按以下办法处理：</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5.2.1更换：由乙方承担所发生的全部费用。</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5.2.2贬值处理：由甲乙双方合议定价。</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5.2.3退货处理：乙方应退还甲方支付的合同款，同时应承担该货物的直接费用（运输、保险、检验、货款利息及银行手续费等）。</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5.3如在使用过程中发生质量问题，乙方应按本项目“第三篇 项目商务要求”中的要求处理。</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5.4在质保期内，乙方应对货物出现的质量及安全问题负责处理解决并承担一切费用。</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5.5 如甲方要求乙方提供履约保证金的，履约保证金的收取和退还应按本项目“第三篇 项目商务要求”中的要求处理。</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6.付款</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6.1本合同使用货币币制如未作特别说明均为人民币。</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6.2付款方式：银行转账、现金支票。</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6.3付款方法：同本项目“第三篇 商务条款”中关于付款方式的约定。</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7.检查验收</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7.1供方应随货物提供合格证和质量证明文件，如是国外进口的货物还须提供入关证明。</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7.2货物验收</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7.3货物验收报告应由需方、供方经办人签字，并加盖双方公章，以此作为支付凭据。</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8.索赔</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供方对货物与合同要求不符负有责任，并且需方已于规定交货内和质量保证期内提出索赔，供方应按需方同意的下述一种或多种方法解决索赔事宜。</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8.2根据货物的疵劣和受损程度以及需方遭受损失的金额，经双方同意降低货物价格。</w:t>
      </w:r>
    </w:p>
    <w:p>
      <w:pPr>
        <w:pStyle w:val="30"/>
        <w:spacing w:line="400" w:lineRule="exact"/>
        <w:ind w:firstLine="480" w:firstLineChars="200"/>
        <w:rPr>
          <w:rFonts w:hint="eastAsia" w:ascii="仿宋" w:hAnsi="仿宋" w:eastAsia="仿宋"/>
          <w:sz w:val="24"/>
        </w:rPr>
      </w:pPr>
      <w:r>
        <w:rPr>
          <w:rFonts w:hint="eastAsia" w:ascii="仿宋" w:hAnsi="仿宋" w:eastAsia="仿宋"/>
          <w:sz w:val="24"/>
        </w:rPr>
        <w:t>9.知识产权</w:t>
      </w:r>
    </w:p>
    <w:p>
      <w:pPr>
        <w:pStyle w:val="30"/>
        <w:spacing w:line="400" w:lineRule="exact"/>
        <w:ind w:firstLine="480" w:firstLineChars="200"/>
        <w:rPr>
          <w:rFonts w:hint="eastAsia" w:ascii="仿宋" w:hAnsi="仿宋" w:eastAsia="仿宋"/>
          <w:sz w:val="24"/>
        </w:rPr>
      </w:pPr>
      <w:r>
        <w:rPr>
          <w:rFonts w:hint="eastAsia" w:ascii="仿宋" w:hAnsi="仿宋" w:eastAsia="仿宋" w:cs="宋体"/>
          <w:kern w:val="0"/>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10.合同争议的解决</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10.1当事人友好协商达成一致</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10.2在60天内当事人协商不能达成协议的，可提请采购人当地仲裁机构仲裁。</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11.违约责任</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按《中华人民共和国合同法》、《中华人民共和国政府采购法》有关条款，或由供需双方约定。</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12.合同生效及其它</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12.1合同生效及其效力应符合《中华人民共和国合同法》有关规定。</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12.2合同应经当事人法定代表人或委托代理人签字，加盖双方合同专用章或公章。</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12.3合同所包括附件，是合同不可分割的一部分，具有同等法法律效力。</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12.4合同需提供担保的，按《中华人民共和国担保法》规定执行。</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12.5本合同条件未尽事宜依照《中华人民共和国合同法》，由供需双方共同协商确定。</w:t>
      </w:r>
    </w:p>
    <w:p>
      <w:pPr>
        <w:snapToGrid w:val="0"/>
        <w:spacing w:line="500" w:lineRule="exact"/>
        <w:jc w:val="center"/>
        <w:outlineLvl w:val="0"/>
        <w:rPr>
          <w:rFonts w:ascii="仿宋" w:hAnsi="仿宋" w:eastAsia="仿宋"/>
          <w:sz w:val="44"/>
        </w:rPr>
        <w:sectPr>
          <w:headerReference r:id="rId9" w:type="default"/>
          <w:footerReference r:id="rId10" w:type="default"/>
          <w:pgSz w:w="11907" w:h="16840"/>
          <w:pgMar w:top="1134" w:right="1191" w:bottom="1134" w:left="1304" w:header="964" w:footer="992" w:gutter="0"/>
          <w:pgNumType w:fmt="numberInDash"/>
          <w:cols w:space="720" w:num="1"/>
          <w:docGrid w:linePitch="312" w:charSpace="0"/>
        </w:sectPr>
      </w:pPr>
    </w:p>
    <w:p>
      <w:pPr>
        <w:pStyle w:val="4"/>
        <w:spacing w:line="500" w:lineRule="exact"/>
        <w:ind w:firstLine="482" w:firstLineChars="200"/>
        <w:rPr>
          <w:rFonts w:hint="eastAsia" w:ascii="仿宋" w:hAnsi="仿宋" w:eastAsia="仿宋"/>
          <w:b/>
          <w:sz w:val="24"/>
        </w:rPr>
      </w:pPr>
      <w:bookmarkStart w:id="48" w:name="_Toc277084871"/>
      <w:bookmarkStart w:id="49" w:name="_Toc23067"/>
      <w:bookmarkStart w:id="50" w:name="_Toc285722713"/>
      <w:r>
        <w:rPr>
          <w:rFonts w:hint="eastAsia" w:ascii="仿宋" w:hAnsi="仿宋" w:eastAsia="仿宋"/>
          <w:b/>
          <w:sz w:val="24"/>
        </w:rPr>
        <w:t>二、政府采购合同（格式）</w:t>
      </w:r>
      <w:bookmarkEnd w:id="48"/>
      <w:bookmarkEnd w:id="49"/>
      <w:bookmarkEnd w:id="50"/>
    </w:p>
    <w:p>
      <w:pPr>
        <w:spacing w:line="500" w:lineRule="exact"/>
        <w:jc w:val="center"/>
        <w:rPr>
          <w:rFonts w:hint="eastAsia" w:ascii="仿宋" w:hAnsi="仿宋" w:eastAsia="仿宋"/>
          <w:b/>
          <w:sz w:val="44"/>
        </w:rPr>
      </w:pPr>
    </w:p>
    <w:p>
      <w:pPr>
        <w:spacing w:line="500" w:lineRule="exact"/>
        <w:jc w:val="center"/>
        <w:rPr>
          <w:rFonts w:hint="eastAsia" w:ascii="仿宋" w:hAnsi="仿宋" w:eastAsia="仿宋"/>
          <w:b/>
          <w:sz w:val="44"/>
        </w:rPr>
      </w:pPr>
      <w:r>
        <w:rPr>
          <w:rFonts w:hint="eastAsia" w:ascii="仿宋" w:hAnsi="仿宋" w:eastAsia="仿宋"/>
          <w:b/>
          <w:sz w:val="44"/>
        </w:rPr>
        <w:t>重庆市政府采购合同</w:t>
      </w:r>
    </w:p>
    <w:p>
      <w:pPr>
        <w:spacing w:line="500" w:lineRule="exact"/>
        <w:jc w:val="center"/>
        <w:rPr>
          <w:rFonts w:hint="eastAsia" w:ascii="仿宋" w:hAnsi="仿宋" w:eastAsia="仿宋"/>
        </w:rPr>
      </w:pPr>
      <w:r>
        <w:rPr>
          <w:rFonts w:hint="eastAsia" w:ascii="仿宋" w:hAnsi="仿宋" w:eastAsia="仿宋"/>
        </w:rPr>
        <w:t>（项目号：     ）</w:t>
      </w:r>
    </w:p>
    <w:p>
      <w:pPr>
        <w:spacing w:line="500" w:lineRule="exact"/>
        <w:rPr>
          <w:rFonts w:hint="eastAsia" w:ascii="仿宋" w:hAnsi="仿宋" w:eastAsia="仿宋"/>
          <w:sz w:val="24"/>
        </w:rPr>
      </w:pPr>
      <w:r>
        <w:rPr>
          <w:rFonts w:hint="eastAsia" w:ascii="仿宋" w:hAnsi="仿宋" w:eastAsia="仿宋"/>
          <w:sz w:val="24"/>
        </w:rPr>
        <w:t>甲方（需方）：___________________________      计价单位：____________</w:t>
      </w:r>
    </w:p>
    <w:p>
      <w:pPr>
        <w:spacing w:line="500" w:lineRule="exact"/>
        <w:rPr>
          <w:rFonts w:hint="eastAsia" w:ascii="仿宋" w:hAnsi="仿宋" w:eastAsia="仿宋"/>
          <w:sz w:val="24"/>
        </w:rPr>
      </w:pPr>
      <w:r>
        <w:rPr>
          <w:rFonts w:hint="eastAsia" w:ascii="仿宋" w:hAnsi="仿宋" w:eastAsia="仿宋"/>
          <w:sz w:val="24"/>
        </w:rPr>
        <w:t>乙方（供方）：___________________________      计量单位：_____________</w:t>
      </w:r>
    </w:p>
    <w:p>
      <w:pPr>
        <w:spacing w:line="500" w:lineRule="exact"/>
        <w:rPr>
          <w:rFonts w:hint="eastAsia" w:ascii="仿宋" w:hAnsi="仿宋" w:eastAsia="仿宋"/>
          <w:sz w:val="24"/>
        </w:rPr>
      </w:pPr>
    </w:p>
    <w:p>
      <w:pPr>
        <w:spacing w:line="500" w:lineRule="exact"/>
        <w:rPr>
          <w:rFonts w:hint="eastAsia" w:ascii="仿宋" w:hAnsi="仿宋" w:eastAsia="仿宋"/>
          <w:sz w:val="24"/>
        </w:rPr>
      </w:pPr>
      <w:r>
        <w:rPr>
          <w:rFonts w:hint="eastAsia" w:ascii="仿宋" w:hAnsi="仿宋" w:eastAsia="仿宋"/>
          <w:sz w:val="24"/>
        </w:rPr>
        <w:t>经双方协商一致，达成以下购销合同：</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306"/>
        <w:gridCol w:w="992"/>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商品名称</w:t>
            </w:r>
          </w:p>
        </w:tc>
        <w:tc>
          <w:tcPr>
            <w:tcW w:w="1741"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规格型号</w:t>
            </w:r>
          </w:p>
        </w:tc>
        <w:tc>
          <w:tcPr>
            <w:tcW w:w="984"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数量</w:t>
            </w:r>
          </w:p>
        </w:tc>
        <w:tc>
          <w:tcPr>
            <w:tcW w:w="1298" w:type="dxa"/>
            <w:gridSpan w:val="2"/>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综合单价</w:t>
            </w:r>
          </w:p>
        </w:tc>
        <w:tc>
          <w:tcPr>
            <w:tcW w:w="1134"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总价</w:t>
            </w:r>
          </w:p>
        </w:tc>
        <w:tc>
          <w:tcPr>
            <w:tcW w:w="1559"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交货时间</w:t>
            </w:r>
          </w:p>
        </w:tc>
        <w:tc>
          <w:tcPr>
            <w:tcW w:w="1567"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noWrap w:val="0"/>
            <w:vAlign w:val="center"/>
          </w:tcPr>
          <w:p>
            <w:pPr>
              <w:spacing w:line="240" w:lineRule="atLeast"/>
              <w:rPr>
                <w:rFonts w:hint="eastAsia" w:ascii="仿宋" w:hAnsi="仿宋" w:eastAsia="仿宋"/>
                <w:sz w:val="21"/>
                <w:szCs w:val="21"/>
              </w:rPr>
            </w:pPr>
            <w:r>
              <w:rPr>
                <w:rFonts w:hint="eastAsia" w:ascii="仿宋" w:hAnsi="仿宋" w:eastAsia="仿宋"/>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noWrap w:val="0"/>
            <w:vAlign w:val="center"/>
          </w:tcPr>
          <w:p>
            <w:pPr>
              <w:spacing w:line="240" w:lineRule="atLeast"/>
              <w:rPr>
                <w:rFonts w:hint="eastAsia" w:ascii="仿宋" w:hAnsi="仿宋" w:eastAsia="仿宋"/>
                <w:sz w:val="21"/>
                <w:szCs w:val="21"/>
              </w:rPr>
            </w:pPr>
            <w:r>
              <w:rPr>
                <w:rFonts w:hint="eastAsia" w:ascii="仿宋" w:hAnsi="仿宋" w:eastAsia="仿宋"/>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一、质量要求和技术标准。供方提供的商品必须是全新的，完全符合国家有关技术标准，供方的质量保证及售后服务承诺如下：</w:t>
            </w:r>
          </w:p>
          <w:p>
            <w:pPr>
              <w:spacing w:line="240" w:lineRule="atLeast"/>
              <w:rPr>
                <w:rFonts w:hint="eastAsia" w:ascii="仿宋" w:hAnsi="仿宋" w:eastAsia="仿宋"/>
                <w:sz w:val="21"/>
                <w:szCs w:val="21"/>
              </w:rPr>
            </w:pPr>
            <w:r>
              <w:rPr>
                <w:rFonts w:hint="eastAsia" w:ascii="仿宋" w:hAnsi="仿宋" w:eastAsia="仿宋"/>
                <w:sz w:val="21"/>
                <w:szCs w:val="21"/>
              </w:rPr>
              <w:t>1、质保期限：</w:t>
            </w:r>
          </w:p>
          <w:p>
            <w:pPr>
              <w:spacing w:line="240" w:lineRule="atLeast"/>
              <w:rPr>
                <w:rFonts w:hint="eastAsia" w:ascii="仿宋" w:hAnsi="仿宋" w:eastAsia="仿宋"/>
                <w:sz w:val="21"/>
                <w:szCs w:val="21"/>
              </w:rPr>
            </w:pPr>
            <w:r>
              <w:rPr>
                <w:rFonts w:hint="eastAsia" w:ascii="仿宋" w:hAnsi="仿宋" w:eastAsia="仿宋"/>
                <w:sz w:val="21"/>
                <w:szCs w:val="21"/>
              </w:rPr>
              <w:t>2、保修范围：</w:t>
            </w:r>
          </w:p>
          <w:p>
            <w:pPr>
              <w:spacing w:line="240" w:lineRule="atLeast"/>
              <w:rPr>
                <w:rFonts w:hint="eastAsia" w:ascii="仿宋" w:hAnsi="仿宋" w:eastAsia="仿宋"/>
                <w:sz w:val="21"/>
                <w:szCs w:val="21"/>
              </w:rPr>
            </w:pPr>
            <w:r>
              <w:rPr>
                <w:rFonts w:hint="eastAsia" w:ascii="仿宋" w:hAnsi="仿宋" w:eastAsia="仿宋"/>
                <w:sz w:val="21"/>
                <w:szCs w:val="21"/>
              </w:rPr>
              <w:t>3、服务措施：</w:t>
            </w:r>
          </w:p>
          <w:p>
            <w:pPr>
              <w:spacing w:line="240" w:lineRule="atLeast"/>
              <w:rPr>
                <w:rFonts w:hint="eastAsia" w:ascii="仿宋" w:hAnsi="仿宋" w:eastAsia="仿宋"/>
                <w:sz w:val="21"/>
                <w:szCs w:val="21"/>
              </w:rPr>
            </w:pPr>
            <w:r>
              <w:rPr>
                <w:rFonts w:hint="eastAsia" w:ascii="仿宋" w:hAnsi="仿宋" w:eastAsia="仿宋"/>
                <w:sz w:val="21"/>
                <w:szCs w:val="21"/>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四、验收标准、方法：</w:t>
            </w:r>
          </w:p>
          <w:p>
            <w:pPr>
              <w:spacing w:line="240" w:lineRule="atLeast"/>
              <w:rPr>
                <w:rFonts w:hint="eastAsia" w:ascii="仿宋" w:hAnsi="仿宋" w:eastAsia="仿宋"/>
                <w:sz w:val="21"/>
                <w:szCs w:val="21"/>
              </w:rPr>
            </w:pPr>
            <w:r>
              <w:rPr>
                <w:rFonts w:hint="eastAsia" w:ascii="仿宋" w:hAnsi="仿宋" w:eastAsia="仿宋"/>
                <w:sz w:val="21"/>
                <w:szCs w:val="21"/>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五、付款方式：</w:t>
            </w:r>
          </w:p>
          <w:p>
            <w:pPr>
              <w:pStyle w:val="32"/>
              <w:spacing w:line="240" w:lineRule="atLeast"/>
              <w:rPr>
                <w:rFonts w:hint="eastAsia" w:ascii="仿宋" w:hAnsi="仿宋" w:eastAsia="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六、违约责任：</w:t>
            </w:r>
          </w:p>
          <w:p>
            <w:pPr>
              <w:spacing w:line="240" w:lineRule="atLeast"/>
              <w:rPr>
                <w:rFonts w:hint="eastAsia" w:ascii="仿宋" w:hAnsi="仿宋" w:eastAsia="仿宋"/>
                <w:sz w:val="21"/>
                <w:szCs w:val="21"/>
              </w:rPr>
            </w:pPr>
            <w:r>
              <w:rPr>
                <w:rFonts w:hint="eastAsia" w:ascii="仿宋" w:hAnsi="仿宋" w:eastAsia="仿宋"/>
                <w:sz w:val="21"/>
                <w:szCs w:val="21"/>
              </w:rPr>
              <w:t>按《合同法》、《政府采购法》执行，或按双方约定。(采购人应按项目实际情况完整填写)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七、其他约定事项：</w:t>
            </w:r>
          </w:p>
          <w:p>
            <w:pPr>
              <w:spacing w:line="240" w:lineRule="atLeast"/>
              <w:rPr>
                <w:rFonts w:hint="eastAsia" w:ascii="仿宋" w:hAnsi="仿宋" w:eastAsia="仿宋"/>
                <w:sz w:val="21"/>
                <w:szCs w:val="21"/>
              </w:rPr>
            </w:pPr>
            <w:r>
              <w:rPr>
                <w:rFonts w:hint="eastAsia" w:ascii="仿宋" w:hAnsi="仿宋" w:eastAsia="仿宋"/>
                <w:sz w:val="21"/>
                <w:szCs w:val="21"/>
              </w:rPr>
              <w:t>1.招标文件及其补遗文件、投标文件和承诺是本合同不可分割的部分。</w:t>
            </w:r>
          </w:p>
          <w:p>
            <w:pPr>
              <w:spacing w:line="240" w:lineRule="atLeast"/>
              <w:rPr>
                <w:rFonts w:hint="eastAsia" w:ascii="仿宋" w:hAnsi="仿宋" w:eastAsia="仿宋"/>
                <w:sz w:val="21"/>
                <w:szCs w:val="21"/>
              </w:rPr>
            </w:pPr>
            <w:r>
              <w:rPr>
                <w:rFonts w:hint="eastAsia" w:ascii="仿宋" w:hAnsi="仿宋" w:eastAsia="仿宋"/>
                <w:sz w:val="21"/>
                <w:szCs w:val="21"/>
              </w:rPr>
              <w:t>2.本合同如发生争议由双方协商解决，协商不成向需方所在人民法院提请诉讼。</w:t>
            </w:r>
          </w:p>
          <w:p>
            <w:pPr>
              <w:spacing w:line="240" w:lineRule="atLeast"/>
              <w:rPr>
                <w:rFonts w:hint="eastAsia" w:ascii="仿宋" w:hAnsi="仿宋" w:eastAsia="仿宋"/>
                <w:sz w:val="21"/>
                <w:szCs w:val="21"/>
              </w:rPr>
            </w:pPr>
            <w:r>
              <w:rPr>
                <w:rFonts w:hint="eastAsia" w:ascii="仿宋" w:hAnsi="仿宋" w:eastAsia="仿宋"/>
                <w:sz w:val="21"/>
                <w:szCs w:val="21"/>
              </w:rPr>
              <w:t>3.本合同一式__份， 需方__份，供方__份，区交易中心</w:t>
            </w:r>
            <w:r>
              <w:rPr>
                <w:rFonts w:hint="eastAsia" w:ascii="仿宋" w:hAnsi="仿宋" w:eastAsia="仿宋"/>
                <w:sz w:val="21"/>
                <w:szCs w:val="21"/>
                <w:u w:val="single"/>
              </w:rPr>
              <w:t>1</w:t>
            </w:r>
            <w:r>
              <w:rPr>
                <w:rFonts w:hint="eastAsia" w:ascii="仿宋" w:hAnsi="仿宋" w:eastAsia="仿宋"/>
                <w:sz w:val="21"/>
                <w:szCs w:val="21"/>
              </w:rPr>
              <w:t>份，区财政部门</w:t>
            </w:r>
            <w:r>
              <w:rPr>
                <w:rFonts w:hint="eastAsia" w:ascii="仿宋" w:hAnsi="仿宋" w:eastAsia="仿宋"/>
                <w:sz w:val="21"/>
                <w:szCs w:val="21"/>
                <w:u w:val="single"/>
              </w:rPr>
              <w:t>1</w:t>
            </w:r>
            <w:r>
              <w:rPr>
                <w:rFonts w:hint="eastAsia" w:ascii="仿宋" w:hAnsi="仿宋" w:eastAsia="仿宋"/>
                <w:sz w:val="21"/>
                <w:szCs w:val="21"/>
              </w:rPr>
              <w:t>份，具备同等法律效力。</w:t>
            </w:r>
          </w:p>
          <w:p>
            <w:pPr>
              <w:spacing w:line="240" w:lineRule="atLeast"/>
              <w:rPr>
                <w:rFonts w:hint="eastAsia" w:ascii="仿宋" w:hAnsi="仿宋" w:eastAsia="仿宋"/>
                <w:sz w:val="21"/>
                <w:szCs w:val="21"/>
              </w:rPr>
            </w:pPr>
            <w:r>
              <w:rPr>
                <w:rFonts w:hint="eastAsia" w:ascii="仿宋" w:hAnsi="仿宋" w:eastAsia="仿宋"/>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361" w:type="dxa"/>
            <w:gridSpan w:val="4"/>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需方：</w:t>
            </w:r>
          </w:p>
          <w:p>
            <w:pPr>
              <w:spacing w:line="240" w:lineRule="atLeast"/>
              <w:rPr>
                <w:rFonts w:hint="eastAsia" w:ascii="仿宋" w:hAnsi="仿宋" w:eastAsia="仿宋"/>
                <w:sz w:val="21"/>
                <w:szCs w:val="21"/>
              </w:rPr>
            </w:pPr>
            <w:r>
              <w:rPr>
                <w:rFonts w:hint="eastAsia" w:ascii="仿宋" w:hAnsi="仿宋" w:eastAsia="仿宋"/>
                <w:sz w:val="21"/>
                <w:szCs w:val="21"/>
              </w:rPr>
              <w:t>地址：</w:t>
            </w:r>
          </w:p>
          <w:p>
            <w:pPr>
              <w:spacing w:line="240" w:lineRule="atLeast"/>
              <w:rPr>
                <w:rFonts w:hint="eastAsia" w:ascii="仿宋" w:hAnsi="仿宋" w:eastAsia="仿宋"/>
                <w:sz w:val="21"/>
                <w:szCs w:val="21"/>
              </w:rPr>
            </w:pPr>
            <w:r>
              <w:rPr>
                <w:rFonts w:hint="eastAsia" w:ascii="仿宋" w:hAnsi="仿宋" w:eastAsia="仿宋"/>
                <w:sz w:val="21"/>
                <w:szCs w:val="21"/>
              </w:rPr>
              <w:t>联系电话：</w:t>
            </w:r>
          </w:p>
          <w:p>
            <w:pPr>
              <w:spacing w:line="240" w:lineRule="atLeast"/>
              <w:rPr>
                <w:rFonts w:hint="eastAsia" w:ascii="仿宋" w:hAnsi="仿宋" w:eastAsia="仿宋"/>
                <w:sz w:val="21"/>
                <w:szCs w:val="21"/>
              </w:rPr>
            </w:pPr>
            <w:r>
              <w:rPr>
                <w:rFonts w:hint="eastAsia" w:ascii="仿宋" w:hAnsi="仿宋" w:eastAsia="仿宋"/>
                <w:sz w:val="21"/>
                <w:szCs w:val="21"/>
              </w:rPr>
              <w:t>授权代表：</w:t>
            </w:r>
          </w:p>
        </w:tc>
        <w:tc>
          <w:tcPr>
            <w:tcW w:w="5267" w:type="dxa"/>
            <w:gridSpan w:val="5"/>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供方：</w:t>
            </w:r>
          </w:p>
          <w:p>
            <w:pPr>
              <w:spacing w:line="240" w:lineRule="atLeast"/>
              <w:rPr>
                <w:rFonts w:hint="eastAsia" w:ascii="仿宋" w:hAnsi="仿宋" w:eastAsia="仿宋"/>
                <w:sz w:val="21"/>
                <w:szCs w:val="21"/>
              </w:rPr>
            </w:pPr>
            <w:r>
              <w:rPr>
                <w:rFonts w:hint="eastAsia" w:ascii="仿宋" w:hAnsi="仿宋" w:eastAsia="仿宋"/>
                <w:sz w:val="21"/>
                <w:szCs w:val="21"/>
              </w:rPr>
              <w:t>地址：</w:t>
            </w:r>
          </w:p>
          <w:p>
            <w:pPr>
              <w:spacing w:line="240" w:lineRule="atLeast"/>
              <w:rPr>
                <w:rFonts w:hint="eastAsia" w:ascii="仿宋" w:hAnsi="仿宋" w:eastAsia="仿宋"/>
                <w:sz w:val="21"/>
                <w:szCs w:val="21"/>
              </w:rPr>
            </w:pPr>
            <w:r>
              <w:rPr>
                <w:rFonts w:hint="eastAsia" w:ascii="仿宋" w:hAnsi="仿宋" w:eastAsia="仿宋"/>
                <w:sz w:val="21"/>
                <w:szCs w:val="21"/>
              </w:rPr>
              <w:t>电话：</w:t>
            </w:r>
          </w:p>
          <w:p>
            <w:pPr>
              <w:spacing w:line="240" w:lineRule="atLeast"/>
              <w:rPr>
                <w:rFonts w:hint="eastAsia" w:ascii="仿宋" w:hAnsi="仿宋" w:eastAsia="仿宋"/>
                <w:sz w:val="21"/>
                <w:szCs w:val="21"/>
              </w:rPr>
            </w:pPr>
            <w:r>
              <w:rPr>
                <w:rFonts w:hint="eastAsia" w:ascii="仿宋" w:hAnsi="仿宋" w:eastAsia="仿宋"/>
                <w:sz w:val="21"/>
                <w:szCs w:val="21"/>
              </w:rPr>
              <w:t>传真：</w:t>
            </w:r>
          </w:p>
          <w:p>
            <w:pPr>
              <w:spacing w:line="240" w:lineRule="atLeast"/>
              <w:rPr>
                <w:rFonts w:hint="eastAsia" w:ascii="仿宋" w:hAnsi="仿宋" w:eastAsia="仿宋"/>
                <w:sz w:val="21"/>
                <w:szCs w:val="21"/>
              </w:rPr>
            </w:pPr>
            <w:r>
              <w:rPr>
                <w:rFonts w:hint="eastAsia" w:ascii="仿宋" w:hAnsi="仿宋" w:eastAsia="仿宋"/>
                <w:sz w:val="21"/>
                <w:szCs w:val="21"/>
              </w:rPr>
              <w:t>开户银行：</w:t>
            </w:r>
          </w:p>
          <w:p>
            <w:pPr>
              <w:spacing w:line="240" w:lineRule="atLeast"/>
              <w:rPr>
                <w:rFonts w:hint="eastAsia" w:ascii="仿宋" w:hAnsi="仿宋" w:eastAsia="仿宋"/>
                <w:sz w:val="21"/>
                <w:szCs w:val="21"/>
              </w:rPr>
            </w:pPr>
            <w:r>
              <w:rPr>
                <w:rFonts w:hint="eastAsia" w:ascii="仿宋" w:hAnsi="仿宋" w:eastAsia="仿宋"/>
                <w:sz w:val="21"/>
                <w:szCs w:val="21"/>
              </w:rPr>
              <w:t>账号：</w:t>
            </w:r>
          </w:p>
          <w:p>
            <w:pPr>
              <w:spacing w:line="240" w:lineRule="atLeast"/>
              <w:rPr>
                <w:rFonts w:hint="eastAsia" w:ascii="仿宋" w:hAnsi="仿宋" w:eastAsia="仿宋"/>
                <w:sz w:val="21"/>
                <w:szCs w:val="21"/>
              </w:rPr>
            </w:pPr>
            <w:r>
              <w:rPr>
                <w:rFonts w:hint="eastAsia" w:ascii="仿宋" w:hAnsi="仿宋" w:eastAsia="仿宋"/>
                <w:sz w:val="21"/>
                <w:szCs w:val="21"/>
              </w:rPr>
              <w:t>授权代表：</w:t>
            </w:r>
          </w:p>
          <w:p>
            <w:pPr>
              <w:spacing w:line="240" w:lineRule="atLeast"/>
              <w:rPr>
                <w:rFonts w:ascii="仿宋" w:hAnsi="仿宋" w:eastAsia="仿宋"/>
                <w:sz w:val="21"/>
                <w:szCs w:val="21"/>
              </w:rPr>
            </w:pPr>
            <w:r>
              <w:rPr>
                <w:rFonts w:hint="eastAsia" w:ascii="仿宋" w:hAnsi="仿宋" w:eastAsia="仿宋"/>
                <w:sz w:val="21"/>
                <w:szCs w:val="21"/>
              </w:rPr>
              <w:t>（本栏请用计算机打印以便于准确付款）</w:t>
            </w:r>
          </w:p>
          <w:p>
            <w:pPr>
              <w:widowControl/>
              <w:spacing w:line="240" w:lineRule="atLeast"/>
              <w:jc w:val="left"/>
              <w:rPr>
                <w:rFonts w:hint="eastAsia" w:ascii="仿宋" w:hAnsi="仿宋" w:eastAsia="仿宋"/>
                <w:sz w:val="21"/>
                <w:szCs w:val="21"/>
              </w:rPr>
            </w:pPr>
          </w:p>
          <w:p>
            <w:pPr>
              <w:spacing w:line="240" w:lineRule="atLeast"/>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备注：</w:t>
            </w:r>
          </w:p>
          <w:p>
            <w:pPr>
              <w:spacing w:line="240" w:lineRule="atLeast"/>
              <w:rPr>
                <w:rFonts w:hint="eastAsia" w:ascii="仿宋" w:hAnsi="仿宋" w:eastAsia="仿宋"/>
                <w:sz w:val="21"/>
                <w:szCs w:val="21"/>
              </w:rPr>
            </w:pPr>
          </w:p>
          <w:p>
            <w:pPr>
              <w:spacing w:line="240" w:lineRule="atLeast"/>
              <w:rPr>
                <w:rFonts w:hint="eastAsia" w:ascii="仿宋" w:hAnsi="仿宋" w:eastAsia="仿宋"/>
                <w:sz w:val="21"/>
                <w:szCs w:val="21"/>
              </w:rPr>
            </w:pPr>
          </w:p>
        </w:tc>
      </w:tr>
    </w:tbl>
    <w:p>
      <w:pPr>
        <w:spacing w:line="500" w:lineRule="exact"/>
        <w:ind w:firstLine="480" w:firstLineChars="200"/>
        <w:rPr>
          <w:rFonts w:hint="eastAsia" w:ascii="仿宋" w:hAnsi="仿宋" w:eastAsia="仿宋"/>
          <w:sz w:val="24"/>
        </w:rPr>
      </w:pPr>
      <w:r>
        <w:rPr>
          <w:rFonts w:hint="eastAsia" w:ascii="仿宋" w:hAnsi="仿宋" w:eastAsia="仿宋"/>
          <w:sz w:val="24"/>
        </w:rPr>
        <w:t>签约时间：           年   月   日      签约地点：</w:t>
      </w:r>
    </w:p>
    <w:p>
      <w:pPr>
        <w:spacing w:line="500" w:lineRule="exact"/>
        <w:ind w:firstLine="560" w:firstLineChars="200"/>
        <w:rPr>
          <w:rFonts w:hint="eastAsia" w:ascii="仿宋" w:hAnsi="仿宋" w:eastAsia="仿宋"/>
        </w:rPr>
        <w:sectPr>
          <w:headerReference r:id="rId11" w:type="default"/>
          <w:pgSz w:w="11907" w:h="16840"/>
          <w:pgMar w:top="1134" w:right="1191" w:bottom="1134" w:left="1304" w:header="964" w:footer="992" w:gutter="0"/>
          <w:pgNumType w:fmt="numberInDash"/>
          <w:cols w:space="720" w:num="1"/>
          <w:docGrid w:linePitch="312" w:charSpace="0"/>
        </w:sectPr>
      </w:pPr>
    </w:p>
    <w:p>
      <w:pPr>
        <w:pStyle w:val="3"/>
        <w:spacing w:before="0" w:beforeLines="0" w:after="0" w:afterLines="0" w:line="360" w:lineRule="auto"/>
        <w:rPr>
          <w:rFonts w:hint="eastAsia" w:ascii="仿宋" w:hAnsi="仿宋" w:eastAsia="仿宋"/>
          <w:b/>
        </w:rPr>
      </w:pPr>
      <w:bookmarkStart w:id="51" w:name="_Toc32548"/>
      <w:r>
        <w:rPr>
          <w:rFonts w:hint="eastAsia" w:ascii="仿宋" w:hAnsi="仿宋" w:eastAsia="仿宋"/>
          <w:b/>
        </w:rPr>
        <w:t>第七篇  投标文件格式</w:t>
      </w:r>
      <w:bookmarkEnd w:id="51"/>
    </w:p>
    <w:p>
      <w:pPr>
        <w:snapToGrid w:val="0"/>
        <w:spacing w:line="440" w:lineRule="exact"/>
        <w:ind w:firstLine="482" w:firstLineChars="200"/>
        <w:rPr>
          <w:rFonts w:hint="eastAsia" w:ascii="仿宋" w:hAnsi="仿宋" w:eastAsia="仿宋"/>
          <w:b/>
          <w:sz w:val="24"/>
          <w:szCs w:val="24"/>
        </w:rPr>
      </w:pPr>
      <w:r>
        <w:rPr>
          <w:rFonts w:hint="eastAsia" w:ascii="仿宋" w:hAnsi="仿宋" w:eastAsia="仿宋"/>
          <w:b/>
          <w:sz w:val="24"/>
          <w:szCs w:val="24"/>
        </w:rPr>
        <w:t>一、经济文件</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（一）开标一览表</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（二）明细报价表</w:t>
      </w:r>
    </w:p>
    <w:p>
      <w:pPr>
        <w:snapToGrid w:val="0"/>
        <w:spacing w:line="440" w:lineRule="exact"/>
        <w:ind w:firstLine="482" w:firstLineChars="200"/>
        <w:rPr>
          <w:rFonts w:hint="eastAsia" w:ascii="仿宋" w:hAnsi="仿宋" w:eastAsia="仿宋"/>
          <w:b/>
          <w:sz w:val="24"/>
          <w:szCs w:val="24"/>
        </w:rPr>
      </w:pPr>
      <w:r>
        <w:rPr>
          <w:rFonts w:hint="eastAsia" w:ascii="仿宋" w:hAnsi="仿宋" w:eastAsia="仿宋"/>
          <w:b/>
          <w:sz w:val="24"/>
          <w:szCs w:val="24"/>
        </w:rPr>
        <w:t>二、技术文件</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（一）所投各产品的技术参数（或技术指标）</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（二）技术条款差异表</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（三）其他技术资料（自拟，按照第二篇、第四篇的要求拟定）</w:t>
      </w:r>
    </w:p>
    <w:p>
      <w:pPr>
        <w:snapToGrid w:val="0"/>
        <w:spacing w:line="440" w:lineRule="exact"/>
        <w:ind w:firstLine="482" w:firstLineChars="200"/>
        <w:rPr>
          <w:rFonts w:hint="eastAsia" w:ascii="仿宋" w:hAnsi="仿宋" w:eastAsia="仿宋"/>
          <w:b/>
          <w:sz w:val="24"/>
          <w:szCs w:val="24"/>
        </w:rPr>
      </w:pPr>
      <w:r>
        <w:rPr>
          <w:rFonts w:hint="eastAsia" w:ascii="仿宋" w:hAnsi="仿宋" w:eastAsia="仿宋"/>
          <w:b/>
          <w:sz w:val="24"/>
          <w:szCs w:val="24"/>
        </w:rPr>
        <w:t>三、商务文件</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（一）投标函（格式）</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（二）商务条款差异表</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（三）其他商务资料（自拟，按照第三篇、第四篇的要求拟定）</w:t>
      </w:r>
    </w:p>
    <w:p>
      <w:pPr>
        <w:tabs>
          <w:tab w:val="left" w:pos="1764"/>
        </w:tabs>
        <w:snapToGrid w:val="0"/>
        <w:spacing w:line="440" w:lineRule="exact"/>
        <w:ind w:firstLine="482" w:firstLineChars="200"/>
        <w:rPr>
          <w:rFonts w:hint="eastAsia" w:ascii="仿宋" w:hAnsi="仿宋" w:eastAsia="仿宋"/>
          <w:b/>
          <w:sz w:val="24"/>
          <w:szCs w:val="24"/>
        </w:rPr>
      </w:pPr>
      <w:r>
        <w:rPr>
          <w:rFonts w:hint="eastAsia" w:ascii="仿宋" w:hAnsi="仿宋" w:eastAsia="仿宋"/>
          <w:b/>
          <w:sz w:val="24"/>
          <w:szCs w:val="24"/>
        </w:rPr>
        <w:t>四、其他</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（一）其他与项目有关的资料（自附）</w:t>
      </w:r>
    </w:p>
    <w:p>
      <w:pPr>
        <w:snapToGrid w:val="0"/>
        <w:spacing w:line="440" w:lineRule="exact"/>
        <w:ind w:firstLine="482" w:firstLineChars="200"/>
        <w:rPr>
          <w:rFonts w:hint="eastAsia" w:ascii="仿宋" w:hAnsi="仿宋" w:eastAsia="仿宋"/>
          <w:b/>
          <w:sz w:val="24"/>
          <w:szCs w:val="24"/>
        </w:rPr>
      </w:pPr>
      <w:r>
        <w:rPr>
          <w:rFonts w:hint="eastAsia" w:ascii="仿宋" w:hAnsi="仿宋" w:eastAsia="仿宋"/>
          <w:b/>
          <w:sz w:val="24"/>
          <w:szCs w:val="24"/>
        </w:rPr>
        <w:t>五、资格文件（单独装订）</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（一）营业执照（副本）或事业单位法人证书（副本）复印件</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（二）组织机构代码证复印件</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（三）法定代表人身份证明书（格式）</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（四）法定代表人授权委托书（格式）</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（五）书面声明（格式）</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（六）税务登记证（副本）复印件</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七）缴纳社会保障金的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snapToGrid w:val="0"/>
        <w:spacing w:line="440" w:lineRule="exact"/>
        <w:ind w:firstLine="480" w:firstLineChars="200"/>
        <w:rPr>
          <w:rFonts w:hint="eastAsia" w:ascii="仿宋" w:hAnsi="仿宋" w:eastAsia="仿宋"/>
          <w:sz w:val="24"/>
          <w:szCs w:val="24"/>
        </w:rPr>
      </w:pPr>
      <w:r>
        <w:rPr>
          <w:rFonts w:hint="eastAsia" w:ascii="仿宋" w:hAnsi="仿宋" w:eastAsia="仿宋"/>
          <w:sz w:val="24"/>
          <w:szCs w:val="24"/>
        </w:rPr>
        <w:t>（八）特定资格条件证书或证明文件</w:t>
      </w:r>
    </w:p>
    <w:p>
      <w:pPr>
        <w:pStyle w:val="4"/>
        <w:pageBreakBefore/>
        <w:spacing w:line="500" w:lineRule="exact"/>
        <w:rPr>
          <w:rFonts w:hint="eastAsia" w:ascii="仿宋" w:hAnsi="仿宋" w:eastAsia="仿宋"/>
          <w:b/>
          <w:szCs w:val="28"/>
        </w:rPr>
      </w:pPr>
      <w:bookmarkStart w:id="52" w:name="_Toc17998"/>
      <w:bookmarkStart w:id="53" w:name="_Toc492721037"/>
      <w:bookmarkStart w:id="54" w:name="_Toc429584884"/>
      <w:r>
        <w:rPr>
          <w:rFonts w:hint="eastAsia" w:ascii="仿宋" w:hAnsi="仿宋" w:eastAsia="仿宋"/>
          <w:b/>
          <w:szCs w:val="28"/>
        </w:rPr>
        <w:t>一、经济文件</w:t>
      </w:r>
      <w:bookmarkEnd w:id="52"/>
      <w:bookmarkEnd w:id="53"/>
      <w:bookmarkEnd w:id="54"/>
    </w:p>
    <w:p>
      <w:pPr>
        <w:snapToGrid w:val="0"/>
        <w:spacing w:line="500" w:lineRule="exact"/>
        <w:jc w:val="center"/>
        <w:rPr>
          <w:rFonts w:hint="eastAsia" w:ascii="仿宋" w:hAnsi="仿宋" w:eastAsia="仿宋"/>
          <w:szCs w:val="36"/>
        </w:rPr>
      </w:pPr>
      <w:r>
        <w:rPr>
          <w:rFonts w:hint="eastAsia" w:ascii="仿宋" w:hAnsi="仿宋" w:eastAsia="仿宋"/>
          <w:szCs w:val="36"/>
        </w:rPr>
        <w:t>（一）开标一览表</w:t>
      </w:r>
    </w:p>
    <w:p>
      <w:pPr>
        <w:spacing w:line="500" w:lineRule="exact"/>
        <w:ind w:firstLine="240" w:firstLineChars="100"/>
        <w:rPr>
          <w:rFonts w:hint="eastAsia" w:ascii="仿宋" w:hAnsi="仿宋" w:eastAsia="仿宋"/>
          <w:sz w:val="24"/>
          <w:szCs w:val="28"/>
        </w:rPr>
      </w:pPr>
      <w:r>
        <w:rPr>
          <w:rFonts w:hint="eastAsia" w:ascii="仿宋" w:hAnsi="仿宋" w:eastAsia="仿宋"/>
          <w:sz w:val="24"/>
          <w:szCs w:val="28"/>
        </w:rPr>
        <w:t>招标项目名称：</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148"/>
        <w:gridCol w:w="1701"/>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788" w:type="dxa"/>
            <w:noWrap w:val="0"/>
            <w:vAlign w:val="center"/>
          </w:tcPr>
          <w:p>
            <w:pPr>
              <w:spacing w:line="500" w:lineRule="exact"/>
              <w:jc w:val="center"/>
              <w:rPr>
                <w:rFonts w:hint="eastAsia" w:ascii="仿宋" w:hAnsi="仿宋" w:eastAsia="仿宋"/>
                <w:sz w:val="21"/>
                <w:szCs w:val="28"/>
              </w:rPr>
            </w:pPr>
            <w:r>
              <w:rPr>
                <w:rFonts w:hint="eastAsia" w:ascii="仿宋" w:hAnsi="仿宋" w:eastAsia="仿宋"/>
                <w:sz w:val="21"/>
                <w:szCs w:val="28"/>
              </w:rPr>
              <w:t>投标人名称</w:t>
            </w:r>
          </w:p>
        </w:tc>
        <w:tc>
          <w:tcPr>
            <w:tcW w:w="7840" w:type="dxa"/>
            <w:gridSpan w:val="3"/>
            <w:noWrap w:val="0"/>
            <w:vAlign w:val="center"/>
          </w:tcPr>
          <w:p>
            <w:pPr>
              <w:spacing w:line="500" w:lineRule="exact"/>
              <w:jc w:val="center"/>
              <w:rPr>
                <w:rFonts w:hint="eastAsia" w:ascii="仿宋" w:hAnsi="仿宋" w:eastAsia="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788" w:type="dxa"/>
            <w:noWrap w:val="0"/>
            <w:vAlign w:val="center"/>
          </w:tcPr>
          <w:p>
            <w:pPr>
              <w:spacing w:line="500" w:lineRule="exact"/>
              <w:jc w:val="center"/>
              <w:rPr>
                <w:rFonts w:hint="eastAsia" w:ascii="仿宋" w:hAnsi="仿宋" w:eastAsia="仿宋"/>
                <w:sz w:val="21"/>
                <w:szCs w:val="28"/>
              </w:rPr>
            </w:pPr>
            <w:r>
              <w:rPr>
                <w:rFonts w:hint="eastAsia" w:ascii="仿宋" w:hAnsi="仿宋" w:eastAsia="仿宋"/>
                <w:sz w:val="21"/>
                <w:szCs w:val="28"/>
              </w:rPr>
              <w:t>分包号</w:t>
            </w:r>
          </w:p>
        </w:tc>
        <w:tc>
          <w:tcPr>
            <w:tcW w:w="2148" w:type="dxa"/>
            <w:noWrap w:val="0"/>
            <w:vAlign w:val="center"/>
          </w:tcPr>
          <w:p>
            <w:pPr>
              <w:spacing w:line="500" w:lineRule="exact"/>
              <w:jc w:val="center"/>
              <w:rPr>
                <w:rFonts w:hint="eastAsia" w:ascii="仿宋" w:hAnsi="仿宋" w:eastAsia="仿宋"/>
                <w:sz w:val="21"/>
                <w:szCs w:val="28"/>
              </w:rPr>
            </w:pPr>
            <w:r>
              <w:rPr>
                <w:rFonts w:hint="eastAsia" w:ascii="仿宋" w:hAnsi="仿宋" w:eastAsia="仿宋"/>
                <w:sz w:val="21"/>
                <w:szCs w:val="28"/>
              </w:rPr>
              <w:t>分包名称</w:t>
            </w:r>
          </w:p>
        </w:tc>
        <w:tc>
          <w:tcPr>
            <w:tcW w:w="1701" w:type="dxa"/>
            <w:noWrap w:val="0"/>
            <w:vAlign w:val="center"/>
          </w:tcPr>
          <w:p>
            <w:pPr>
              <w:spacing w:line="500" w:lineRule="exact"/>
              <w:jc w:val="center"/>
              <w:rPr>
                <w:rFonts w:hint="eastAsia" w:ascii="仿宋" w:hAnsi="仿宋" w:eastAsia="仿宋"/>
                <w:sz w:val="21"/>
                <w:szCs w:val="28"/>
              </w:rPr>
            </w:pPr>
            <w:r>
              <w:rPr>
                <w:rFonts w:hint="eastAsia" w:ascii="仿宋" w:hAnsi="仿宋" w:eastAsia="仿宋"/>
                <w:sz w:val="21"/>
                <w:szCs w:val="28"/>
              </w:rPr>
              <w:t>数量</w:t>
            </w:r>
          </w:p>
        </w:tc>
        <w:tc>
          <w:tcPr>
            <w:tcW w:w="3991" w:type="dxa"/>
            <w:noWrap w:val="0"/>
            <w:vAlign w:val="center"/>
          </w:tcPr>
          <w:p>
            <w:pPr>
              <w:spacing w:line="500" w:lineRule="exact"/>
              <w:jc w:val="center"/>
              <w:rPr>
                <w:rFonts w:hint="eastAsia" w:ascii="仿宋" w:hAnsi="仿宋" w:eastAsia="仿宋"/>
                <w:sz w:val="21"/>
                <w:szCs w:val="28"/>
              </w:rPr>
            </w:pPr>
            <w:r>
              <w:rPr>
                <w:rFonts w:hint="eastAsia" w:ascii="仿宋" w:hAnsi="仿宋" w:eastAsia="仿宋"/>
                <w:sz w:val="21"/>
                <w:szCs w:val="28"/>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88" w:type="dxa"/>
            <w:tcBorders>
              <w:bottom w:val="single" w:color="auto" w:sz="4" w:space="0"/>
            </w:tcBorders>
            <w:noWrap w:val="0"/>
            <w:vAlign w:val="center"/>
          </w:tcPr>
          <w:p>
            <w:pPr>
              <w:spacing w:line="500" w:lineRule="exact"/>
              <w:jc w:val="center"/>
              <w:rPr>
                <w:rFonts w:hint="eastAsia" w:ascii="仿宋" w:hAnsi="仿宋" w:eastAsia="仿宋"/>
                <w:sz w:val="21"/>
                <w:szCs w:val="28"/>
              </w:rPr>
            </w:pPr>
          </w:p>
        </w:tc>
        <w:tc>
          <w:tcPr>
            <w:tcW w:w="2148" w:type="dxa"/>
            <w:tcBorders>
              <w:bottom w:val="single" w:color="auto" w:sz="4" w:space="0"/>
            </w:tcBorders>
            <w:noWrap w:val="0"/>
            <w:vAlign w:val="top"/>
          </w:tcPr>
          <w:p>
            <w:pPr>
              <w:spacing w:line="500" w:lineRule="exact"/>
              <w:rPr>
                <w:rFonts w:hint="eastAsia" w:ascii="仿宋" w:hAnsi="仿宋" w:eastAsia="仿宋"/>
                <w:sz w:val="21"/>
                <w:szCs w:val="28"/>
              </w:rPr>
            </w:pPr>
          </w:p>
        </w:tc>
        <w:tc>
          <w:tcPr>
            <w:tcW w:w="1701" w:type="dxa"/>
            <w:tcBorders>
              <w:bottom w:val="single" w:color="auto" w:sz="4" w:space="0"/>
            </w:tcBorders>
            <w:noWrap w:val="0"/>
            <w:vAlign w:val="top"/>
          </w:tcPr>
          <w:p>
            <w:pPr>
              <w:spacing w:line="500" w:lineRule="exact"/>
              <w:rPr>
                <w:rFonts w:hint="eastAsia" w:ascii="仿宋" w:hAnsi="仿宋" w:eastAsia="仿宋"/>
                <w:sz w:val="21"/>
                <w:szCs w:val="28"/>
              </w:rPr>
            </w:pPr>
          </w:p>
        </w:tc>
        <w:tc>
          <w:tcPr>
            <w:tcW w:w="3991" w:type="dxa"/>
            <w:tcBorders>
              <w:bottom w:val="single" w:color="auto" w:sz="4" w:space="0"/>
            </w:tcBorders>
            <w:noWrap w:val="0"/>
            <w:vAlign w:val="top"/>
          </w:tcPr>
          <w:p>
            <w:pPr>
              <w:spacing w:line="500" w:lineRule="exact"/>
              <w:rPr>
                <w:rFonts w:hint="eastAsia" w:ascii="仿宋" w:hAnsi="仿宋" w:eastAsia="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628" w:type="dxa"/>
            <w:gridSpan w:val="4"/>
            <w:tcBorders>
              <w:bottom w:val="single" w:color="auto" w:sz="4" w:space="0"/>
            </w:tcBorders>
            <w:noWrap w:val="0"/>
            <w:vAlign w:val="center"/>
          </w:tcPr>
          <w:p>
            <w:pPr>
              <w:spacing w:line="560" w:lineRule="exact"/>
              <w:rPr>
                <w:rFonts w:hint="eastAsia" w:ascii="仿宋" w:hAnsi="仿宋" w:eastAsia="仿宋"/>
                <w:sz w:val="21"/>
                <w:szCs w:val="28"/>
              </w:rPr>
            </w:pPr>
            <w:r>
              <w:rPr>
                <w:rFonts w:hint="eastAsia" w:ascii="仿宋" w:hAnsi="仿宋" w:eastAsia="仿宋"/>
                <w:sz w:val="21"/>
                <w:szCs w:val="28"/>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28" w:type="dxa"/>
            <w:gridSpan w:val="4"/>
            <w:noWrap w:val="0"/>
            <w:vAlign w:val="center"/>
          </w:tcPr>
          <w:p>
            <w:pPr>
              <w:pStyle w:val="32"/>
              <w:spacing w:line="500" w:lineRule="exact"/>
              <w:rPr>
                <w:rFonts w:hint="eastAsia" w:ascii="仿宋" w:hAnsi="仿宋" w:eastAsia="仿宋"/>
                <w:sz w:val="21"/>
                <w:szCs w:val="28"/>
                <w:lang w:val="en-US" w:eastAsia="zh-CN"/>
              </w:rPr>
            </w:pPr>
            <w:r>
              <w:rPr>
                <w:rFonts w:hint="eastAsia" w:ascii="仿宋" w:hAnsi="仿宋" w:eastAsia="仿宋"/>
                <w:sz w:val="21"/>
                <w:szCs w:val="28"/>
                <w:lang w:val="en-US" w:eastAsia="zh-CN"/>
              </w:rPr>
              <w:t xml:space="preserve">备注： </w:t>
            </w:r>
          </w:p>
        </w:tc>
      </w:tr>
    </w:tbl>
    <w:p>
      <w:pPr>
        <w:pStyle w:val="32"/>
        <w:spacing w:line="500" w:lineRule="exact"/>
        <w:rPr>
          <w:rFonts w:hint="eastAsia" w:ascii="仿宋" w:hAnsi="仿宋" w:eastAsia="仿宋"/>
          <w:sz w:val="24"/>
          <w:szCs w:val="28"/>
        </w:rPr>
      </w:pPr>
    </w:p>
    <w:p>
      <w:pPr>
        <w:rPr>
          <w:rFonts w:hint="eastAsia" w:ascii="仿宋" w:hAnsi="仿宋" w:eastAsia="仿宋"/>
        </w:rPr>
      </w:pPr>
    </w:p>
    <w:p>
      <w:pPr>
        <w:spacing w:line="500" w:lineRule="exact"/>
        <w:rPr>
          <w:rFonts w:hint="eastAsia" w:ascii="仿宋" w:hAnsi="仿宋" w:eastAsia="仿宋"/>
          <w:sz w:val="24"/>
          <w:szCs w:val="28"/>
        </w:rPr>
      </w:pPr>
    </w:p>
    <w:p>
      <w:pPr>
        <w:spacing w:line="500" w:lineRule="exact"/>
        <w:ind w:firstLine="480" w:firstLineChars="200"/>
        <w:rPr>
          <w:rFonts w:hint="eastAsia" w:ascii="仿宋" w:hAnsi="仿宋" w:eastAsia="仿宋"/>
          <w:sz w:val="24"/>
          <w:szCs w:val="28"/>
        </w:rPr>
      </w:pPr>
      <w:r>
        <w:rPr>
          <w:rFonts w:hint="eastAsia" w:ascii="仿宋" w:hAnsi="仿宋" w:eastAsia="仿宋"/>
          <w:sz w:val="24"/>
          <w:szCs w:val="28"/>
        </w:rPr>
        <w:t>投标人                               法定代表人或法定代表人授权代表：</w:t>
      </w:r>
    </w:p>
    <w:p>
      <w:pPr>
        <w:spacing w:line="500" w:lineRule="exact"/>
        <w:rPr>
          <w:rFonts w:hint="eastAsia" w:ascii="仿宋" w:hAnsi="仿宋" w:eastAsia="仿宋"/>
          <w:sz w:val="24"/>
          <w:szCs w:val="28"/>
        </w:rPr>
      </w:pPr>
      <w:r>
        <w:rPr>
          <w:rFonts w:hint="eastAsia" w:ascii="仿宋" w:hAnsi="仿宋" w:eastAsia="仿宋"/>
          <w:sz w:val="24"/>
          <w:szCs w:val="28"/>
        </w:rPr>
        <w:t xml:space="preserve">  （投标人公章）                               （签字或盖章）</w:t>
      </w:r>
    </w:p>
    <w:p>
      <w:pPr>
        <w:spacing w:line="500" w:lineRule="exact"/>
        <w:rPr>
          <w:rFonts w:hint="eastAsia" w:ascii="仿宋" w:hAnsi="仿宋" w:eastAsia="仿宋"/>
          <w:sz w:val="24"/>
          <w:szCs w:val="28"/>
        </w:rPr>
      </w:pPr>
    </w:p>
    <w:p>
      <w:pPr>
        <w:spacing w:line="500" w:lineRule="exact"/>
        <w:rPr>
          <w:rFonts w:hint="eastAsia" w:ascii="仿宋" w:hAnsi="仿宋" w:eastAsia="仿宋"/>
          <w:sz w:val="24"/>
          <w:szCs w:val="28"/>
        </w:rPr>
      </w:pPr>
    </w:p>
    <w:p>
      <w:pPr>
        <w:spacing w:line="500" w:lineRule="exact"/>
        <w:rPr>
          <w:rFonts w:hint="eastAsia" w:ascii="仿宋" w:hAnsi="仿宋" w:eastAsia="仿宋"/>
          <w:sz w:val="24"/>
          <w:szCs w:val="28"/>
        </w:rPr>
      </w:pPr>
      <w:r>
        <w:rPr>
          <w:rFonts w:hint="eastAsia" w:ascii="仿宋" w:hAnsi="仿宋" w:eastAsia="仿宋"/>
          <w:sz w:val="24"/>
          <w:szCs w:val="28"/>
        </w:rPr>
        <w:t xml:space="preserve">                                            年     月     日</w:t>
      </w:r>
    </w:p>
    <w:p>
      <w:pPr>
        <w:snapToGrid w:val="0"/>
        <w:spacing w:line="500" w:lineRule="exact"/>
        <w:ind w:firstLine="480" w:firstLineChars="200"/>
        <w:rPr>
          <w:rFonts w:hint="eastAsia" w:ascii="仿宋" w:hAnsi="仿宋" w:eastAsia="仿宋"/>
          <w:sz w:val="24"/>
          <w:szCs w:val="28"/>
        </w:rPr>
      </w:pPr>
    </w:p>
    <w:p>
      <w:pPr>
        <w:snapToGrid w:val="0"/>
        <w:spacing w:line="500" w:lineRule="exact"/>
        <w:ind w:firstLine="480" w:firstLineChars="200"/>
        <w:rPr>
          <w:rFonts w:hint="eastAsia" w:ascii="仿宋" w:hAnsi="仿宋" w:eastAsia="仿宋"/>
          <w:sz w:val="24"/>
          <w:szCs w:val="28"/>
        </w:rPr>
      </w:pPr>
    </w:p>
    <w:p>
      <w:pPr>
        <w:snapToGrid w:val="0"/>
        <w:spacing w:line="500" w:lineRule="exact"/>
        <w:ind w:firstLine="480" w:firstLineChars="200"/>
        <w:rPr>
          <w:rFonts w:hint="eastAsia" w:ascii="仿宋" w:hAnsi="仿宋" w:eastAsia="仿宋"/>
          <w:sz w:val="24"/>
          <w:szCs w:val="28"/>
        </w:rPr>
      </w:pPr>
    </w:p>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说明：</w:t>
      </w:r>
    </w:p>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1.开标一览表按格式填列；</w:t>
      </w:r>
    </w:p>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2.开标一览表在开标大会上当众宣读，务必填写清楚，准确无误；</w:t>
      </w:r>
    </w:p>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3.若以联合体参与投标的，应在“投标人名称”处注明所有联合体名称。“投标人”处至少应加盖联合体主办方（主体）公章。</w:t>
      </w:r>
    </w:p>
    <w:p>
      <w:pPr>
        <w:snapToGrid w:val="0"/>
        <w:spacing w:line="500" w:lineRule="exact"/>
        <w:rPr>
          <w:rFonts w:hint="eastAsia" w:ascii="仿宋" w:hAnsi="仿宋" w:eastAsia="仿宋"/>
          <w:szCs w:val="36"/>
        </w:rPr>
      </w:pPr>
      <w:r>
        <w:rPr>
          <w:rFonts w:hint="eastAsia" w:ascii="仿宋" w:hAnsi="仿宋" w:eastAsia="仿宋"/>
          <w:szCs w:val="28"/>
        </w:rPr>
        <w:br w:type="page"/>
      </w:r>
      <w:r>
        <w:rPr>
          <w:rFonts w:hint="eastAsia" w:ascii="仿宋" w:hAnsi="仿宋" w:eastAsia="仿宋"/>
          <w:szCs w:val="36"/>
        </w:rPr>
        <w:t>（二）明细报价表</w:t>
      </w:r>
    </w:p>
    <w:p>
      <w:pPr>
        <w:snapToGrid w:val="0"/>
        <w:spacing w:line="500" w:lineRule="exact"/>
        <w:jc w:val="center"/>
        <w:rPr>
          <w:rFonts w:hint="eastAsia" w:ascii="仿宋" w:hAnsi="仿宋" w:eastAsia="仿宋"/>
          <w:szCs w:val="36"/>
        </w:rPr>
      </w:pPr>
      <w:r>
        <w:rPr>
          <w:rFonts w:hint="eastAsia" w:ascii="仿宋" w:hAnsi="仿宋" w:eastAsia="仿宋"/>
          <w:szCs w:val="36"/>
        </w:rPr>
        <w:t>明细报价表</w:t>
      </w:r>
    </w:p>
    <w:p>
      <w:pPr>
        <w:spacing w:line="360" w:lineRule="auto"/>
        <w:rPr>
          <w:rFonts w:hint="eastAsia" w:ascii="方正仿宋_GBK" w:hAnsi="宋体" w:eastAsia="方正仿宋_GBK"/>
          <w:sz w:val="24"/>
          <w:szCs w:val="24"/>
        </w:rPr>
      </w:pPr>
    </w:p>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 xml:space="preserve">项目名称：                                         </w:t>
      </w:r>
    </w:p>
    <w:tbl>
      <w:tblPr>
        <w:tblStyle w:val="57"/>
        <w:tblW w:w="10409" w:type="dxa"/>
        <w:jc w:val="center"/>
        <w:tblLayout w:type="fixed"/>
        <w:tblCellMar>
          <w:top w:w="0" w:type="dxa"/>
          <w:left w:w="108" w:type="dxa"/>
          <w:bottom w:w="0" w:type="dxa"/>
          <w:right w:w="108" w:type="dxa"/>
        </w:tblCellMar>
      </w:tblPr>
      <w:tblGrid>
        <w:gridCol w:w="821"/>
        <w:gridCol w:w="1211"/>
        <w:gridCol w:w="4262"/>
        <w:gridCol w:w="983"/>
        <w:gridCol w:w="992"/>
        <w:gridCol w:w="993"/>
        <w:gridCol w:w="1147"/>
      </w:tblGrid>
      <w:tr>
        <w:tblPrEx>
          <w:tblCellMar>
            <w:top w:w="0" w:type="dxa"/>
            <w:left w:w="108" w:type="dxa"/>
            <w:bottom w:w="0" w:type="dxa"/>
            <w:right w:w="108" w:type="dxa"/>
          </w:tblCellMar>
        </w:tblPrEx>
        <w:trPr>
          <w:trHeight w:val="469" w:hRule="atLeast"/>
          <w:jc w:val="center"/>
        </w:trPr>
        <w:tc>
          <w:tcPr>
            <w:tcW w:w="82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仿宋" w:hAnsi="仿宋" w:eastAsia="仿宋"/>
                <w:sz w:val="24"/>
                <w:szCs w:val="28"/>
              </w:rPr>
            </w:pPr>
            <w:r>
              <w:rPr>
                <w:rFonts w:hint="eastAsia" w:ascii="仿宋" w:hAnsi="仿宋" w:eastAsia="仿宋"/>
                <w:sz w:val="24"/>
                <w:szCs w:val="28"/>
              </w:rPr>
              <w:t>序号</w:t>
            </w:r>
          </w:p>
        </w:tc>
        <w:tc>
          <w:tcPr>
            <w:tcW w:w="1211" w:type="dxa"/>
            <w:tcBorders>
              <w:top w:val="single" w:color="auto" w:sz="4" w:space="0"/>
              <w:left w:val="nil"/>
              <w:bottom w:val="single" w:color="auto" w:sz="4" w:space="0"/>
              <w:right w:val="single" w:color="auto" w:sz="4" w:space="0"/>
            </w:tcBorders>
            <w:noWrap w:val="0"/>
            <w:vAlign w:val="center"/>
          </w:tcPr>
          <w:p>
            <w:pPr>
              <w:snapToGrid w:val="0"/>
              <w:spacing w:line="500" w:lineRule="exact"/>
              <w:rPr>
                <w:rFonts w:hint="eastAsia" w:ascii="仿宋" w:hAnsi="仿宋" w:eastAsia="仿宋"/>
                <w:sz w:val="24"/>
                <w:szCs w:val="28"/>
              </w:rPr>
            </w:pPr>
            <w:r>
              <w:rPr>
                <w:rFonts w:hint="eastAsia" w:ascii="仿宋" w:hAnsi="仿宋" w:eastAsia="仿宋"/>
                <w:sz w:val="24"/>
                <w:szCs w:val="28"/>
              </w:rPr>
              <w:t>服务名称</w:t>
            </w:r>
          </w:p>
        </w:tc>
        <w:tc>
          <w:tcPr>
            <w:tcW w:w="4262" w:type="dxa"/>
            <w:tcBorders>
              <w:top w:val="single" w:color="auto" w:sz="4" w:space="0"/>
              <w:left w:val="nil"/>
              <w:bottom w:val="single" w:color="auto" w:sz="4" w:space="0"/>
              <w:right w:val="single" w:color="auto" w:sz="4" w:space="0"/>
            </w:tcBorders>
            <w:noWrap w:val="0"/>
            <w:vAlign w:val="center"/>
          </w:tcPr>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服务内容等</w:t>
            </w:r>
          </w:p>
        </w:tc>
        <w:tc>
          <w:tcPr>
            <w:tcW w:w="983" w:type="dxa"/>
            <w:tcBorders>
              <w:top w:val="single" w:color="auto" w:sz="4" w:space="0"/>
              <w:left w:val="nil"/>
              <w:bottom w:val="single" w:color="auto" w:sz="4" w:space="0"/>
              <w:right w:val="single" w:color="auto" w:sz="4" w:space="0"/>
            </w:tcBorders>
            <w:noWrap w:val="0"/>
            <w:vAlign w:val="center"/>
          </w:tcPr>
          <w:p>
            <w:pPr>
              <w:snapToGrid w:val="0"/>
              <w:spacing w:line="500" w:lineRule="exact"/>
              <w:rPr>
                <w:rFonts w:hint="eastAsia" w:ascii="仿宋" w:hAnsi="仿宋" w:eastAsia="仿宋"/>
                <w:sz w:val="24"/>
                <w:szCs w:val="28"/>
              </w:rPr>
            </w:pPr>
            <w:r>
              <w:rPr>
                <w:rFonts w:hint="eastAsia" w:ascii="仿宋" w:hAnsi="仿宋" w:eastAsia="仿宋"/>
                <w:sz w:val="24"/>
                <w:szCs w:val="28"/>
              </w:rPr>
              <w:t>单位</w:t>
            </w:r>
          </w:p>
        </w:tc>
        <w:tc>
          <w:tcPr>
            <w:tcW w:w="992" w:type="dxa"/>
            <w:tcBorders>
              <w:top w:val="single" w:color="auto" w:sz="4" w:space="0"/>
              <w:left w:val="nil"/>
              <w:bottom w:val="single" w:color="auto" w:sz="4" w:space="0"/>
              <w:right w:val="single" w:color="auto" w:sz="4" w:space="0"/>
            </w:tcBorders>
            <w:noWrap w:val="0"/>
            <w:vAlign w:val="center"/>
          </w:tcPr>
          <w:p>
            <w:pPr>
              <w:snapToGrid w:val="0"/>
              <w:spacing w:line="500" w:lineRule="exact"/>
              <w:rPr>
                <w:rFonts w:hint="eastAsia" w:ascii="仿宋" w:hAnsi="仿宋" w:eastAsia="仿宋"/>
                <w:sz w:val="24"/>
                <w:szCs w:val="28"/>
              </w:rPr>
            </w:pPr>
            <w:r>
              <w:rPr>
                <w:rFonts w:hint="eastAsia" w:ascii="仿宋" w:hAnsi="仿宋" w:eastAsia="仿宋"/>
                <w:sz w:val="24"/>
                <w:szCs w:val="28"/>
              </w:rPr>
              <w:t>数量</w:t>
            </w:r>
          </w:p>
        </w:tc>
        <w:tc>
          <w:tcPr>
            <w:tcW w:w="993" w:type="dxa"/>
            <w:tcBorders>
              <w:top w:val="single" w:color="auto" w:sz="4" w:space="0"/>
              <w:left w:val="nil"/>
              <w:bottom w:val="single" w:color="auto" w:sz="4" w:space="0"/>
              <w:right w:val="single" w:color="auto" w:sz="4" w:space="0"/>
            </w:tcBorders>
            <w:noWrap w:val="0"/>
            <w:vAlign w:val="center"/>
          </w:tcPr>
          <w:p>
            <w:pPr>
              <w:snapToGrid w:val="0"/>
              <w:spacing w:line="500" w:lineRule="exact"/>
              <w:rPr>
                <w:rFonts w:hint="eastAsia" w:ascii="仿宋" w:hAnsi="仿宋" w:eastAsia="仿宋"/>
                <w:sz w:val="24"/>
                <w:szCs w:val="28"/>
              </w:rPr>
            </w:pPr>
            <w:r>
              <w:rPr>
                <w:rFonts w:hint="eastAsia" w:ascii="仿宋" w:hAnsi="仿宋" w:eastAsia="仿宋"/>
                <w:sz w:val="24"/>
                <w:szCs w:val="28"/>
              </w:rPr>
              <w:t>单价</w:t>
            </w:r>
          </w:p>
        </w:tc>
        <w:tc>
          <w:tcPr>
            <w:tcW w:w="1147" w:type="dxa"/>
            <w:tcBorders>
              <w:top w:val="single" w:color="auto" w:sz="4" w:space="0"/>
              <w:left w:val="nil"/>
              <w:bottom w:val="single" w:color="auto" w:sz="4" w:space="0"/>
              <w:right w:val="single" w:color="auto" w:sz="4" w:space="0"/>
            </w:tcBorders>
            <w:noWrap w:val="0"/>
            <w:vAlign w:val="center"/>
          </w:tcPr>
          <w:p>
            <w:pPr>
              <w:snapToGrid w:val="0"/>
              <w:spacing w:line="500" w:lineRule="exact"/>
              <w:rPr>
                <w:rFonts w:hint="eastAsia" w:ascii="仿宋" w:hAnsi="仿宋" w:eastAsia="仿宋"/>
                <w:sz w:val="24"/>
                <w:szCs w:val="28"/>
              </w:rPr>
            </w:pPr>
            <w:r>
              <w:rPr>
                <w:rFonts w:hint="eastAsia" w:ascii="仿宋" w:hAnsi="仿宋" w:eastAsia="仿宋"/>
                <w:sz w:val="24"/>
                <w:szCs w:val="28"/>
              </w:rPr>
              <w:t>总价</w:t>
            </w:r>
          </w:p>
        </w:tc>
      </w:tr>
      <w:tr>
        <w:tblPrEx>
          <w:tblCellMar>
            <w:top w:w="0" w:type="dxa"/>
            <w:left w:w="108" w:type="dxa"/>
            <w:bottom w:w="0" w:type="dxa"/>
            <w:right w:w="108" w:type="dxa"/>
          </w:tblCellMar>
        </w:tblPrEx>
        <w:trPr>
          <w:trHeight w:val="519" w:hRule="atLeast"/>
          <w:jc w:val="center"/>
        </w:trPr>
        <w:tc>
          <w:tcPr>
            <w:tcW w:w="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1211"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426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83"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c>
          <w:tcPr>
            <w:tcW w:w="1147"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r>
      <w:tr>
        <w:tblPrEx>
          <w:tblCellMar>
            <w:top w:w="0" w:type="dxa"/>
            <w:left w:w="108" w:type="dxa"/>
            <w:bottom w:w="0" w:type="dxa"/>
            <w:right w:w="108" w:type="dxa"/>
          </w:tblCellMar>
        </w:tblPrEx>
        <w:trPr>
          <w:trHeight w:val="519" w:hRule="atLeast"/>
          <w:jc w:val="center"/>
        </w:trPr>
        <w:tc>
          <w:tcPr>
            <w:tcW w:w="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1211"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426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83"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c>
          <w:tcPr>
            <w:tcW w:w="1147"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r>
      <w:tr>
        <w:tblPrEx>
          <w:tblCellMar>
            <w:top w:w="0" w:type="dxa"/>
            <w:left w:w="108" w:type="dxa"/>
            <w:bottom w:w="0" w:type="dxa"/>
            <w:right w:w="108" w:type="dxa"/>
          </w:tblCellMar>
        </w:tblPrEx>
        <w:trPr>
          <w:trHeight w:val="519" w:hRule="atLeast"/>
          <w:jc w:val="center"/>
        </w:trPr>
        <w:tc>
          <w:tcPr>
            <w:tcW w:w="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1211"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426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83"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c>
          <w:tcPr>
            <w:tcW w:w="1147"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r>
      <w:tr>
        <w:tblPrEx>
          <w:tblCellMar>
            <w:top w:w="0" w:type="dxa"/>
            <w:left w:w="108" w:type="dxa"/>
            <w:bottom w:w="0" w:type="dxa"/>
            <w:right w:w="108" w:type="dxa"/>
          </w:tblCellMar>
        </w:tblPrEx>
        <w:trPr>
          <w:trHeight w:val="519" w:hRule="atLeast"/>
          <w:jc w:val="center"/>
        </w:trPr>
        <w:tc>
          <w:tcPr>
            <w:tcW w:w="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1211"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426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83"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c>
          <w:tcPr>
            <w:tcW w:w="1147"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r>
      <w:tr>
        <w:tblPrEx>
          <w:tblCellMar>
            <w:top w:w="0" w:type="dxa"/>
            <w:left w:w="108" w:type="dxa"/>
            <w:bottom w:w="0" w:type="dxa"/>
            <w:right w:w="108" w:type="dxa"/>
          </w:tblCellMar>
        </w:tblPrEx>
        <w:trPr>
          <w:trHeight w:val="519" w:hRule="atLeast"/>
          <w:jc w:val="center"/>
        </w:trPr>
        <w:tc>
          <w:tcPr>
            <w:tcW w:w="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1211"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426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83"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c>
          <w:tcPr>
            <w:tcW w:w="1147"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r>
      <w:tr>
        <w:tblPrEx>
          <w:tblCellMar>
            <w:top w:w="0" w:type="dxa"/>
            <w:left w:w="108" w:type="dxa"/>
            <w:bottom w:w="0" w:type="dxa"/>
            <w:right w:w="108" w:type="dxa"/>
          </w:tblCellMar>
        </w:tblPrEx>
        <w:trPr>
          <w:trHeight w:val="519" w:hRule="atLeast"/>
          <w:jc w:val="center"/>
        </w:trPr>
        <w:tc>
          <w:tcPr>
            <w:tcW w:w="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1211"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426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83"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snapToGrid w:val="0"/>
              <w:spacing w:line="500" w:lineRule="exact"/>
              <w:ind w:firstLine="480" w:firstLineChars="200"/>
              <w:rPr>
                <w:rFonts w:hint="eastAsia" w:ascii="仿宋" w:hAnsi="仿宋" w:eastAsia="仿宋"/>
                <w:sz w:val="24"/>
                <w:szCs w:val="28"/>
              </w:rPr>
            </w:pP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c>
          <w:tcPr>
            <w:tcW w:w="1147" w:type="dxa"/>
            <w:tcBorders>
              <w:top w:val="single" w:color="auto" w:sz="4" w:space="0"/>
              <w:left w:val="nil"/>
              <w:bottom w:val="single" w:color="auto" w:sz="4" w:space="0"/>
              <w:right w:val="single" w:color="auto" w:sz="4" w:space="0"/>
            </w:tcBorders>
            <w:shd w:val="clear" w:color="000000" w:fill="FFFFFF"/>
            <w:noWrap w:val="0"/>
            <w:vAlign w:val="center"/>
          </w:tcPr>
          <w:p>
            <w:pPr>
              <w:snapToGrid w:val="0"/>
              <w:spacing w:line="500" w:lineRule="exact"/>
              <w:ind w:firstLine="480" w:firstLineChars="200"/>
              <w:rPr>
                <w:rFonts w:hint="eastAsia" w:ascii="仿宋" w:hAnsi="仿宋" w:eastAsia="仿宋"/>
                <w:sz w:val="24"/>
                <w:szCs w:val="28"/>
              </w:rPr>
            </w:pPr>
          </w:p>
        </w:tc>
      </w:tr>
    </w:tbl>
    <w:p>
      <w:pPr>
        <w:snapToGrid w:val="0"/>
        <w:spacing w:line="500" w:lineRule="exact"/>
        <w:ind w:firstLine="480" w:firstLineChars="200"/>
        <w:rPr>
          <w:rFonts w:hint="eastAsia" w:ascii="仿宋" w:hAnsi="仿宋" w:eastAsia="仿宋"/>
          <w:sz w:val="24"/>
          <w:szCs w:val="28"/>
        </w:rPr>
      </w:pPr>
    </w:p>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注：1、请供应商完整填写本表。</w:t>
      </w:r>
    </w:p>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 xml:space="preserve">        2、该表可扩展，并逐页签字或盖章。</w:t>
      </w:r>
    </w:p>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 xml:space="preserve">        3、该表可根据项目实际情况调整。</w:t>
      </w:r>
    </w:p>
    <w:p>
      <w:pPr>
        <w:snapToGrid w:val="0"/>
        <w:spacing w:line="500" w:lineRule="exact"/>
        <w:ind w:firstLine="480" w:firstLineChars="200"/>
        <w:rPr>
          <w:rFonts w:hint="eastAsia" w:ascii="仿宋" w:hAnsi="仿宋" w:eastAsia="仿宋"/>
          <w:sz w:val="24"/>
          <w:szCs w:val="28"/>
        </w:rPr>
      </w:pPr>
    </w:p>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 xml:space="preserve">            </w:t>
      </w:r>
    </w:p>
    <w:p>
      <w:pPr>
        <w:snapToGrid w:val="0"/>
        <w:spacing w:line="500" w:lineRule="exact"/>
        <w:ind w:firstLine="480" w:firstLineChars="200"/>
        <w:rPr>
          <w:rFonts w:hint="eastAsia" w:ascii="仿宋" w:hAnsi="仿宋" w:eastAsia="仿宋"/>
          <w:sz w:val="24"/>
          <w:szCs w:val="28"/>
        </w:rPr>
      </w:pPr>
    </w:p>
    <w:p>
      <w:pPr>
        <w:snapToGrid w:val="0"/>
        <w:spacing w:line="500" w:lineRule="exact"/>
        <w:ind w:firstLine="480" w:firstLineChars="200"/>
        <w:rPr>
          <w:rFonts w:hint="eastAsia" w:ascii="仿宋" w:hAnsi="仿宋" w:eastAsia="仿宋"/>
          <w:sz w:val="24"/>
          <w:szCs w:val="28"/>
        </w:rPr>
      </w:pPr>
    </w:p>
    <w:p>
      <w:pPr>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 xml:space="preserve">                                                   供应商名称（公章）：</w:t>
      </w:r>
    </w:p>
    <w:p>
      <w:pPr>
        <w:snapToGrid w:val="0"/>
        <w:spacing w:line="500" w:lineRule="exact"/>
        <w:ind w:firstLine="6960" w:firstLineChars="2900"/>
        <w:rPr>
          <w:rFonts w:hint="eastAsia" w:ascii="仿宋" w:hAnsi="仿宋" w:eastAsia="仿宋"/>
          <w:sz w:val="24"/>
          <w:szCs w:val="28"/>
        </w:rPr>
        <w:sectPr>
          <w:headerReference r:id="rId12" w:type="default"/>
          <w:type w:val="nextColumn"/>
          <w:pgSz w:w="11907" w:h="16840"/>
          <w:pgMar w:top="1440" w:right="1080" w:bottom="1440" w:left="1080" w:header="851" w:footer="992" w:gutter="0"/>
          <w:pgNumType w:fmt="numberInDash"/>
          <w:cols w:space="720" w:num="1"/>
          <w:docGrid w:linePitch="380" w:charSpace="-5735"/>
        </w:sectPr>
      </w:pPr>
      <w:r>
        <w:rPr>
          <w:rFonts w:hint="eastAsia" w:ascii="仿宋" w:hAnsi="仿宋" w:eastAsia="仿宋"/>
          <w:sz w:val="24"/>
          <w:szCs w:val="28"/>
        </w:rPr>
        <w:t>年     月    日</w:t>
      </w:r>
    </w:p>
    <w:p>
      <w:pPr>
        <w:pStyle w:val="4"/>
        <w:pageBreakBefore/>
        <w:spacing w:line="500" w:lineRule="exact"/>
        <w:rPr>
          <w:rFonts w:hint="eastAsia" w:ascii="仿宋" w:hAnsi="仿宋" w:eastAsia="仿宋"/>
          <w:b/>
          <w:sz w:val="24"/>
        </w:rPr>
      </w:pPr>
      <w:bookmarkStart w:id="55" w:name="_Toc17394"/>
      <w:r>
        <w:rPr>
          <w:rFonts w:hint="eastAsia" w:ascii="仿宋" w:hAnsi="仿宋" w:eastAsia="仿宋"/>
          <w:b/>
          <w:szCs w:val="28"/>
        </w:rPr>
        <w:t>二、技术文件</w:t>
      </w:r>
      <w:bookmarkEnd w:id="55"/>
    </w:p>
    <w:p>
      <w:pPr>
        <w:tabs>
          <w:tab w:val="left" w:pos="6300"/>
        </w:tabs>
        <w:snapToGrid w:val="0"/>
        <w:spacing w:line="500" w:lineRule="exact"/>
        <w:ind w:firstLine="570"/>
        <w:rPr>
          <w:rFonts w:hint="eastAsia" w:ascii="仿宋" w:hAnsi="仿宋" w:eastAsia="仿宋"/>
          <w:szCs w:val="24"/>
        </w:rPr>
      </w:pPr>
      <w:r>
        <w:rPr>
          <w:rFonts w:hint="eastAsia" w:ascii="仿宋" w:hAnsi="仿宋" w:eastAsia="仿宋"/>
          <w:szCs w:val="24"/>
        </w:rPr>
        <w:t>（一）所投各产品的技术参数（或技术指标）</w:t>
      </w:r>
    </w:p>
    <w:p>
      <w:pPr>
        <w:tabs>
          <w:tab w:val="left" w:pos="6300"/>
        </w:tabs>
        <w:snapToGrid w:val="0"/>
        <w:spacing w:line="500" w:lineRule="exact"/>
        <w:ind w:firstLine="570"/>
        <w:rPr>
          <w:rFonts w:hint="eastAsia" w:ascii="仿宋" w:hAnsi="仿宋" w:eastAsia="仿宋"/>
          <w:szCs w:val="24"/>
        </w:rPr>
      </w:pPr>
    </w:p>
    <w:p>
      <w:pPr>
        <w:snapToGrid w:val="0"/>
        <w:spacing w:line="500" w:lineRule="exact"/>
        <w:jc w:val="left"/>
        <w:rPr>
          <w:rFonts w:hint="eastAsia" w:ascii="仿宋" w:hAnsi="仿宋" w:eastAsia="仿宋"/>
          <w:sz w:val="24"/>
          <w:szCs w:val="24"/>
        </w:rPr>
      </w:pPr>
      <w:r>
        <w:rPr>
          <w:rFonts w:hint="eastAsia" w:ascii="仿宋" w:hAnsi="仿宋" w:eastAsia="仿宋"/>
          <w:szCs w:val="24"/>
        </w:rPr>
        <w:t xml:space="preserve">  </w:t>
      </w:r>
    </w:p>
    <w:p>
      <w:pPr>
        <w:tabs>
          <w:tab w:val="left" w:pos="6300"/>
        </w:tabs>
        <w:snapToGrid w:val="0"/>
        <w:spacing w:line="500" w:lineRule="exact"/>
        <w:ind w:firstLine="570"/>
        <w:rPr>
          <w:rFonts w:hint="eastAsia" w:ascii="仿宋" w:hAnsi="仿宋" w:eastAsia="仿宋"/>
          <w:szCs w:val="24"/>
        </w:rPr>
      </w:pPr>
    </w:p>
    <w:p>
      <w:pPr>
        <w:tabs>
          <w:tab w:val="left" w:pos="6300"/>
        </w:tabs>
        <w:snapToGrid w:val="0"/>
        <w:spacing w:line="500" w:lineRule="exact"/>
        <w:ind w:firstLine="570"/>
        <w:rPr>
          <w:rFonts w:hint="eastAsia" w:ascii="仿宋" w:hAnsi="仿宋" w:eastAsia="仿宋"/>
          <w:szCs w:val="24"/>
        </w:rPr>
      </w:pPr>
      <w:r>
        <w:rPr>
          <w:rFonts w:ascii="仿宋" w:hAnsi="仿宋" w:eastAsia="仿宋"/>
          <w:szCs w:val="24"/>
        </w:rPr>
        <w:br w:type="page"/>
      </w:r>
      <w:r>
        <w:rPr>
          <w:rFonts w:hint="eastAsia" w:ascii="仿宋" w:hAnsi="仿宋" w:eastAsia="仿宋"/>
          <w:szCs w:val="24"/>
        </w:rPr>
        <w:t>（二）技术条款差异表</w:t>
      </w:r>
    </w:p>
    <w:p>
      <w:pPr>
        <w:pStyle w:val="32"/>
        <w:tabs>
          <w:tab w:val="left" w:pos="6300"/>
        </w:tabs>
        <w:snapToGrid w:val="0"/>
        <w:spacing w:line="500" w:lineRule="exact"/>
        <w:ind w:firstLine="480" w:firstLineChars="200"/>
        <w:outlineLvl w:val="0"/>
        <w:rPr>
          <w:rFonts w:hint="eastAsia" w:ascii="仿宋" w:hAnsi="仿宋" w:eastAsia="仿宋"/>
          <w:sz w:val="24"/>
        </w:rPr>
      </w:pPr>
      <w:r>
        <w:rPr>
          <w:rFonts w:hint="eastAsia" w:ascii="仿宋" w:hAnsi="仿宋" w:eastAsia="仿宋"/>
          <w:sz w:val="24"/>
          <w:szCs w:val="28"/>
        </w:rPr>
        <w:t>招标项目名称</w:t>
      </w:r>
      <w:r>
        <w:rPr>
          <w:rFonts w:hint="eastAsia" w:ascii="仿宋" w:hAnsi="仿宋" w:eastAsia="仿宋"/>
          <w:sz w:val="24"/>
        </w:rPr>
        <w:t>：</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r>
              <w:rPr>
                <w:rFonts w:hint="eastAsia" w:ascii="仿宋" w:hAnsi="仿宋" w:eastAsia="仿宋"/>
                <w:sz w:val="21"/>
                <w:szCs w:val="21"/>
              </w:rPr>
              <w:t>序号</w:t>
            </w: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r>
              <w:rPr>
                <w:rFonts w:hint="eastAsia" w:ascii="仿宋" w:hAnsi="仿宋" w:eastAsia="仿宋"/>
                <w:sz w:val="21"/>
                <w:szCs w:val="21"/>
              </w:rPr>
              <w:t>招标要求</w:t>
            </w: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r>
              <w:rPr>
                <w:rFonts w:hint="eastAsia" w:ascii="仿宋" w:hAnsi="仿宋" w:eastAsia="仿宋"/>
                <w:sz w:val="21"/>
                <w:szCs w:val="21"/>
              </w:rPr>
              <w:t>投标应答</w:t>
            </w: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r>
              <w:rPr>
                <w:rFonts w:hint="eastAsia" w:ascii="仿宋" w:hAnsi="仿宋" w:eastAsia="仿宋"/>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bl>
    <w:p>
      <w:pPr>
        <w:spacing w:line="500" w:lineRule="exact"/>
        <w:ind w:firstLine="600" w:firstLineChars="250"/>
        <w:rPr>
          <w:rFonts w:hint="eastAsia" w:ascii="仿宋" w:hAnsi="仿宋" w:eastAsia="仿宋"/>
          <w:sz w:val="24"/>
          <w:szCs w:val="28"/>
        </w:rPr>
      </w:pPr>
      <w:r>
        <w:rPr>
          <w:rFonts w:hint="eastAsia" w:ascii="仿宋" w:hAnsi="仿宋" w:eastAsia="仿宋"/>
          <w:sz w:val="24"/>
          <w:szCs w:val="28"/>
        </w:rPr>
        <w:t>投标人：                                  法定代表人或法定代表人授权代表：</w:t>
      </w:r>
    </w:p>
    <w:p>
      <w:pPr>
        <w:spacing w:line="500" w:lineRule="exact"/>
        <w:rPr>
          <w:rFonts w:hint="eastAsia" w:ascii="仿宋" w:hAnsi="仿宋" w:eastAsia="仿宋"/>
          <w:sz w:val="24"/>
          <w:szCs w:val="28"/>
        </w:rPr>
      </w:pPr>
      <w:r>
        <w:rPr>
          <w:rFonts w:hint="eastAsia" w:ascii="仿宋" w:hAnsi="仿宋" w:eastAsia="仿宋"/>
          <w:sz w:val="24"/>
          <w:szCs w:val="28"/>
        </w:rPr>
        <w:t xml:space="preserve">    </w:t>
      </w:r>
    </w:p>
    <w:p>
      <w:pPr>
        <w:spacing w:line="500" w:lineRule="exact"/>
        <w:ind w:firstLine="720" w:firstLineChars="300"/>
        <w:rPr>
          <w:rFonts w:hint="eastAsia" w:ascii="仿宋" w:hAnsi="仿宋" w:eastAsia="仿宋"/>
          <w:sz w:val="24"/>
          <w:szCs w:val="28"/>
        </w:rPr>
      </w:pPr>
      <w:r>
        <w:rPr>
          <w:rFonts w:hint="eastAsia" w:ascii="仿宋" w:hAnsi="仿宋" w:eastAsia="仿宋"/>
          <w:sz w:val="24"/>
          <w:szCs w:val="28"/>
        </w:rPr>
        <w:t>（投标人公章）                               （签字或盖章）</w:t>
      </w: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szCs w:val="28"/>
        </w:rPr>
        <w:t xml:space="preserve">                                            年     月     日</w:t>
      </w: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注：</w:t>
      </w:r>
    </w:p>
    <w:p>
      <w:pPr>
        <w:tabs>
          <w:tab w:val="left" w:pos="6300"/>
        </w:tabs>
        <w:snapToGrid w:val="0"/>
        <w:spacing w:line="500" w:lineRule="exact"/>
        <w:ind w:firstLine="570"/>
        <w:rPr>
          <w:rFonts w:hint="eastAsia" w:ascii="仿宋" w:hAnsi="仿宋" w:eastAsia="仿宋"/>
          <w:sz w:val="24"/>
          <w:szCs w:val="24"/>
        </w:rPr>
      </w:pPr>
      <w:r>
        <w:rPr>
          <w:rFonts w:hint="eastAsia" w:ascii="仿宋" w:hAnsi="仿宋" w:eastAsia="仿宋"/>
          <w:sz w:val="24"/>
          <w:szCs w:val="24"/>
        </w:rPr>
        <w:t>1.本表即为对本项目“第二篇 项目技术规格、数量及质量要求”中所列技术要求进行比较和响应；</w:t>
      </w:r>
    </w:p>
    <w:p>
      <w:pPr>
        <w:tabs>
          <w:tab w:val="left" w:pos="6300"/>
        </w:tabs>
        <w:snapToGrid w:val="0"/>
        <w:spacing w:line="500" w:lineRule="exact"/>
        <w:ind w:firstLine="570"/>
        <w:rPr>
          <w:rFonts w:hint="eastAsia" w:ascii="仿宋" w:hAnsi="仿宋" w:eastAsia="仿宋"/>
          <w:sz w:val="24"/>
          <w:szCs w:val="24"/>
        </w:rPr>
      </w:pPr>
      <w:r>
        <w:rPr>
          <w:rFonts w:hint="eastAsia" w:ascii="仿宋" w:hAnsi="仿宋" w:eastAsia="仿宋"/>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hint="eastAsia" w:ascii="仿宋" w:hAnsi="仿宋" w:eastAsia="仿宋"/>
          <w:sz w:val="24"/>
          <w:szCs w:val="24"/>
        </w:rPr>
      </w:pPr>
      <w:r>
        <w:rPr>
          <w:rFonts w:hint="eastAsia" w:ascii="仿宋" w:hAnsi="仿宋" w:eastAsia="仿宋"/>
          <w:sz w:val="24"/>
          <w:szCs w:val="24"/>
        </w:rPr>
        <w:t>3.该表可扩展；</w:t>
      </w:r>
    </w:p>
    <w:p>
      <w:pPr>
        <w:tabs>
          <w:tab w:val="left" w:pos="6300"/>
        </w:tabs>
        <w:snapToGrid w:val="0"/>
        <w:spacing w:line="500" w:lineRule="exact"/>
        <w:ind w:firstLine="570"/>
        <w:rPr>
          <w:rFonts w:hint="eastAsia" w:ascii="仿宋" w:hAnsi="仿宋" w:eastAsia="仿宋"/>
          <w:sz w:val="24"/>
          <w:szCs w:val="24"/>
        </w:rPr>
      </w:pPr>
      <w:r>
        <w:rPr>
          <w:rFonts w:hint="eastAsia" w:ascii="仿宋" w:hAnsi="仿宋" w:eastAsia="仿宋"/>
          <w:sz w:val="24"/>
          <w:szCs w:val="24"/>
        </w:rPr>
        <w:t>4.可附相关技术支撑材料。（格式自定）</w:t>
      </w:r>
    </w:p>
    <w:p>
      <w:pPr>
        <w:tabs>
          <w:tab w:val="left" w:pos="6300"/>
        </w:tabs>
        <w:snapToGrid w:val="0"/>
        <w:spacing w:line="500" w:lineRule="exact"/>
        <w:ind w:firstLine="570"/>
        <w:rPr>
          <w:rFonts w:hint="eastAsia" w:ascii="仿宋" w:hAnsi="仿宋" w:eastAsia="仿宋"/>
          <w:sz w:val="24"/>
          <w:szCs w:val="24"/>
        </w:rPr>
      </w:pPr>
    </w:p>
    <w:p>
      <w:pPr>
        <w:tabs>
          <w:tab w:val="left" w:pos="6300"/>
        </w:tabs>
        <w:snapToGrid w:val="0"/>
        <w:spacing w:line="500" w:lineRule="exact"/>
        <w:ind w:firstLine="570"/>
        <w:rPr>
          <w:rFonts w:hint="eastAsia" w:ascii="仿宋" w:hAnsi="仿宋" w:eastAsia="仿宋"/>
          <w:sz w:val="24"/>
          <w:szCs w:val="24"/>
        </w:rPr>
      </w:pPr>
    </w:p>
    <w:p>
      <w:pPr>
        <w:tabs>
          <w:tab w:val="left" w:pos="6300"/>
        </w:tabs>
        <w:snapToGrid w:val="0"/>
        <w:spacing w:line="500" w:lineRule="exact"/>
        <w:ind w:firstLine="570"/>
        <w:rPr>
          <w:rFonts w:hint="eastAsia" w:ascii="方正仿宋_GBK" w:hAnsi="仿宋" w:eastAsia="方正仿宋_GBK"/>
          <w:szCs w:val="24"/>
        </w:rPr>
      </w:pPr>
      <w:r>
        <w:rPr>
          <w:rFonts w:hint="eastAsia" w:ascii="方正仿宋_GBK" w:hAnsi="仿宋" w:eastAsia="方正仿宋_GBK"/>
          <w:szCs w:val="24"/>
        </w:rPr>
        <w:t>（三）其他技术资料</w:t>
      </w:r>
    </w:p>
    <w:p>
      <w:pPr>
        <w:tabs>
          <w:tab w:val="left" w:pos="6300"/>
        </w:tabs>
        <w:snapToGrid w:val="0"/>
        <w:spacing w:line="500" w:lineRule="exact"/>
        <w:ind w:firstLine="570"/>
        <w:rPr>
          <w:rFonts w:hint="eastAsia" w:ascii="仿宋" w:hAnsi="仿宋" w:eastAsia="仿宋"/>
          <w:sz w:val="24"/>
          <w:szCs w:val="24"/>
        </w:rPr>
      </w:pPr>
      <w:r>
        <w:rPr>
          <w:rFonts w:hint="eastAsia" w:ascii="方正仿宋_GBK" w:hAnsi="宋体" w:eastAsia="方正仿宋_GBK"/>
          <w:sz w:val="24"/>
          <w:szCs w:val="24"/>
        </w:rPr>
        <w:t>（自拟，按照第二篇、第四篇的要求拟定）</w:t>
      </w:r>
    </w:p>
    <w:p>
      <w:pPr>
        <w:snapToGrid w:val="0"/>
        <w:spacing w:line="500" w:lineRule="exact"/>
        <w:ind w:firstLine="480" w:firstLineChars="200"/>
        <w:rPr>
          <w:rFonts w:hint="eastAsia" w:ascii="仿宋" w:hAnsi="仿宋" w:eastAsia="仿宋"/>
          <w:sz w:val="24"/>
          <w:szCs w:val="28"/>
        </w:rPr>
      </w:pPr>
    </w:p>
    <w:p>
      <w:pPr>
        <w:pStyle w:val="4"/>
        <w:pageBreakBefore/>
        <w:spacing w:line="500" w:lineRule="exact"/>
        <w:rPr>
          <w:rFonts w:hint="eastAsia" w:ascii="仿宋" w:hAnsi="仿宋" w:eastAsia="仿宋"/>
          <w:b/>
          <w:szCs w:val="28"/>
        </w:rPr>
      </w:pPr>
      <w:bookmarkStart w:id="56" w:name="_Toc492721039"/>
      <w:bookmarkStart w:id="57" w:name="_Toc429584886"/>
      <w:bookmarkStart w:id="58" w:name="_Toc12240"/>
      <w:r>
        <w:rPr>
          <w:rFonts w:hint="eastAsia" w:ascii="仿宋" w:hAnsi="仿宋" w:eastAsia="仿宋"/>
          <w:b/>
          <w:szCs w:val="28"/>
        </w:rPr>
        <w:t>三、商务文件</w:t>
      </w:r>
      <w:bookmarkEnd w:id="56"/>
      <w:bookmarkEnd w:id="57"/>
      <w:bookmarkEnd w:id="58"/>
    </w:p>
    <w:p>
      <w:pPr>
        <w:snapToGrid w:val="0"/>
        <w:spacing w:before="120" w:beforeLines="50" w:line="500" w:lineRule="exact"/>
        <w:jc w:val="center"/>
        <w:rPr>
          <w:rFonts w:hint="eastAsia" w:ascii="仿宋" w:hAnsi="仿宋" w:eastAsia="仿宋"/>
          <w:szCs w:val="28"/>
        </w:rPr>
      </w:pPr>
      <w:r>
        <w:rPr>
          <w:rFonts w:hint="eastAsia" w:ascii="仿宋" w:hAnsi="仿宋" w:eastAsia="仿宋"/>
          <w:szCs w:val="28"/>
        </w:rPr>
        <w:t>（一）投标函（格式）</w:t>
      </w:r>
    </w:p>
    <w:p>
      <w:pPr>
        <w:spacing w:line="500" w:lineRule="exact"/>
        <w:rPr>
          <w:rFonts w:hint="eastAsia" w:ascii="仿宋" w:hAnsi="仿宋" w:eastAsia="仿宋"/>
          <w:sz w:val="24"/>
          <w:szCs w:val="28"/>
        </w:rPr>
      </w:pPr>
    </w:p>
    <w:p>
      <w:pPr>
        <w:spacing w:line="500" w:lineRule="exact"/>
        <w:ind w:firstLine="480" w:firstLineChars="200"/>
        <w:rPr>
          <w:rFonts w:hint="eastAsia" w:ascii="仿宋" w:hAnsi="仿宋" w:eastAsia="仿宋"/>
          <w:sz w:val="24"/>
          <w:szCs w:val="28"/>
          <w:u w:val="single"/>
        </w:rPr>
      </w:pPr>
      <w:r>
        <w:rPr>
          <w:rFonts w:hint="eastAsia" w:ascii="仿宋" w:hAnsi="仿宋" w:eastAsia="仿宋"/>
          <w:sz w:val="24"/>
          <w:szCs w:val="28"/>
        </w:rPr>
        <w:t>招标项目名称：</w:t>
      </w:r>
      <w:r>
        <w:rPr>
          <w:rFonts w:hint="eastAsia" w:ascii="仿宋" w:hAnsi="仿宋" w:eastAsia="仿宋"/>
          <w:sz w:val="24"/>
          <w:szCs w:val="28"/>
          <w:u w:val="single"/>
        </w:rPr>
        <w:t xml:space="preserve">                                             </w:t>
      </w:r>
    </w:p>
    <w:p>
      <w:pPr>
        <w:spacing w:line="500" w:lineRule="exact"/>
        <w:rPr>
          <w:rFonts w:hint="eastAsia" w:ascii="仿宋" w:hAnsi="仿宋" w:eastAsia="仿宋"/>
          <w:sz w:val="24"/>
          <w:szCs w:val="28"/>
        </w:rPr>
      </w:pPr>
    </w:p>
    <w:p>
      <w:pPr>
        <w:tabs>
          <w:tab w:val="left" w:pos="6300"/>
        </w:tabs>
        <w:snapToGrid w:val="0"/>
        <w:spacing w:line="500" w:lineRule="exact"/>
        <w:rPr>
          <w:rFonts w:hint="eastAsia" w:ascii="仿宋" w:hAnsi="仿宋" w:eastAsia="仿宋"/>
          <w:sz w:val="24"/>
          <w:szCs w:val="28"/>
        </w:rPr>
      </w:pPr>
      <w:r>
        <w:rPr>
          <w:rFonts w:hint="eastAsia" w:ascii="仿宋" w:hAnsi="仿宋" w:eastAsia="仿宋"/>
          <w:sz w:val="24"/>
          <w:szCs w:val="28"/>
        </w:rPr>
        <w:t>致：</w:t>
      </w:r>
      <w:r>
        <w:rPr>
          <w:rFonts w:hint="eastAsia" w:ascii="仿宋" w:hAnsi="仿宋" w:eastAsia="仿宋"/>
          <w:sz w:val="24"/>
          <w:szCs w:val="28"/>
          <w:u w:val="single"/>
        </w:rPr>
        <w:t xml:space="preserve">                    </w:t>
      </w:r>
      <w:r>
        <w:rPr>
          <w:rFonts w:hint="eastAsia" w:ascii="仿宋" w:hAnsi="仿宋" w:eastAsia="仿宋"/>
          <w:sz w:val="24"/>
          <w:szCs w:val="28"/>
        </w:rPr>
        <w:t>（采购代理机构名称）：</w:t>
      </w:r>
    </w:p>
    <w:p>
      <w:pPr>
        <w:snapToGrid w:val="0"/>
        <w:spacing w:before="120" w:beforeLines="50" w:line="500" w:lineRule="exact"/>
        <w:ind w:firstLine="480" w:firstLineChars="200"/>
        <w:rPr>
          <w:rFonts w:hint="eastAsia" w:ascii="仿宋" w:hAnsi="仿宋" w:eastAsia="仿宋"/>
          <w:sz w:val="24"/>
          <w:szCs w:val="28"/>
        </w:rPr>
      </w:pPr>
      <w:r>
        <w:rPr>
          <w:rFonts w:hint="eastAsia" w:ascii="仿宋" w:hAnsi="仿宋" w:eastAsia="仿宋"/>
          <w:sz w:val="24"/>
          <w:szCs w:val="28"/>
          <w:u w:val="single"/>
        </w:rPr>
        <w:t xml:space="preserve">                        </w:t>
      </w:r>
      <w:r>
        <w:rPr>
          <w:rFonts w:hint="eastAsia" w:ascii="仿宋" w:hAnsi="仿宋" w:eastAsia="仿宋"/>
          <w:sz w:val="24"/>
          <w:szCs w:val="28"/>
        </w:rPr>
        <w:t>（投标人名称）系中华人民共和国合法企业，注册地址：</w:t>
      </w:r>
      <w:r>
        <w:rPr>
          <w:rFonts w:hint="eastAsia" w:ascii="仿宋" w:hAnsi="仿宋" w:eastAsia="仿宋"/>
          <w:sz w:val="24"/>
          <w:szCs w:val="28"/>
          <w:u w:val="single"/>
        </w:rPr>
        <w:t xml:space="preserve">                               </w:t>
      </w:r>
      <w:r>
        <w:rPr>
          <w:rFonts w:hint="eastAsia" w:ascii="仿宋" w:hAnsi="仿宋" w:eastAsia="仿宋"/>
          <w:sz w:val="24"/>
          <w:szCs w:val="28"/>
        </w:rPr>
        <w:t>。我方就参加本次投标有关事项郑重声明如下：</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一、我方完全理解并接受该项目招标文件所有要求。</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三、我方承诺按照招标文件要求，提供招标项目的技术服务。</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四、我方按招标文件要求提交的投标文件为：投标文件正本1份，副本1份。</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五、我方承诺：本次投标的投标有效期为90天。</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六、我方投标报价为闭口价。即在投标有效期和合同有效期内，该报价固定不变。</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七、如果我方中标，我方将履行招标文件中规定的各项要求以及我方投标文件的各项承诺，按《政府采购法》、《合同法》及合同约定条款承担我方责任。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八、我方未</w:t>
      </w:r>
      <w:r>
        <w:rPr>
          <w:rFonts w:ascii="仿宋" w:hAnsi="仿宋" w:eastAsia="仿宋"/>
          <w:sz w:val="24"/>
          <w:szCs w:val="24"/>
        </w:rPr>
        <w:t>为采购项目提供整体设计、规范编制或者项目管理、监理、检测等服务</w:t>
      </w:r>
      <w:r>
        <w:rPr>
          <w:rFonts w:hint="eastAsia" w:ascii="仿宋" w:hAnsi="仿宋" w:eastAsia="仿宋"/>
          <w:sz w:val="24"/>
          <w:szCs w:val="24"/>
        </w:rPr>
        <w:t>。</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九、我方理解，最低报价不是中标的唯一条件。</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十、我方同意按有关规定及招标文件要求，缴纳足额投标保证金。</w:t>
      </w:r>
    </w:p>
    <w:p>
      <w:pPr>
        <w:tabs>
          <w:tab w:val="left" w:pos="6300"/>
        </w:tabs>
        <w:snapToGrid w:val="0"/>
        <w:spacing w:line="500" w:lineRule="exact"/>
        <w:ind w:firstLine="480" w:firstLineChars="200"/>
        <w:rPr>
          <w:rFonts w:hint="eastAsia" w:ascii="仿宋" w:hAnsi="仿宋" w:eastAsia="仿宋"/>
          <w:sz w:val="24"/>
          <w:szCs w:val="28"/>
        </w:rPr>
      </w:pPr>
      <w:r>
        <w:rPr>
          <w:rFonts w:hint="eastAsia" w:ascii="仿宋" w:hAnsi="仿宋" w:eastAsia="仿宋"/>
          <w:sz w:val="24"/>
          <w:szCs w:val="28"/>
        </w:rPr>
        <w:t>十一、若我方中标，愿意按有关规定及招标文件要求缴纳招标代理服务费和交易服务费。</w:t>
      </w:r>
    </w:p>
    <w:p>
      <w:pPr>
        <w:tabs>
          <w:tab w:val="left" w:pos="6300"/>
        </w:tabs>
        <w:snapToGrid w:val="0"/>
        <w:spacing w:line="500" w:lineRule="exact"/>
        <w:ind w:firstLine="570"/>
        <w:rPr>
          <w:rFonts w:hint="eastAsia" w:ascii="仿宋" w:hAnsi="仿宋" w:eastAsia="仿宋"/>
          <w:sz w:val="24"/>
          <w:szCs w:val="28"/>
        </w:rPr>
      </w:pPr>
    </w:p>
    <w:p>
      <w:pPr>
        <w:tabs>
          <w:tab w:val="left" w:pos="6300"/>
        </w:tabs>
        <w:snapToGrid w:val="0"/>
        <w:spacing w:line="500" w:lineRule="exact"/>
        <w:ind w:firstLine="5460" w:firstLineChars="2275"/>
        <w:rPr>
          <w:rFonts w:hint="eastAsia" w:ascii="仿宋" w:hAnsi="仿宋" w:eastAsia="仿宋"/>
          <w:sz w:val="24"/>
          <w:szCs w:val="28"/>
        </w:rPr>
      </w:pPr>
      <w:r>
        <w:rPr>
          <w:rFonts w:hint="eastAsia" w:ascii="仿宋" w:hAnsi="仿宋" w:eastAsia="仿宋"/>
          <w:sz w:val="24"/>
          <w:szCs w:val="28"/>
        </w:rPr>
        <w:t>（投标人公章）</w:t>
      </w:r>
    </w:p>
    <w:p>
      <w:pPr>
        <w:tabs>
          <w:tab w:val="left" w:pos="6300"/>
        </w:tabs>
        <w:snapToGrid w:val="0"/>
        <w:spacing w:line="500" w:lineRule="exact"/>
        <w:ind w:firstLine="570"/>
        <w:rPr>
          <w:rFonts w:hint="eastAsia" w:ascii="仿宋" w:hAnsi="仿宋" w:eastAsia="仿宋"/>
          <w:sz w:val="24"/>
          <w:szCs w:val="28"/>
        </w:rPr>
      </w:pPr>
    </w:p>
    <w:p>
      <w:pPr>
        <w:tabs>
          <w:tab w:val="left" w:pos="6300"/>
        </w:tabs>
        <w:snapToGrid w:val="0"/>
        <w:spacing w:line="500" w:lineRule="exact"/>
        <w:ind w:firstLine="5760" w:firstLineChars="2400"/>
        <w:rPr>
          <w:rFonts w:hint="eastAsia" w:ascii="仿宋" w:hAnsi="仿宋" w:eastAsia="仿宋"/>
          <w:szCs w:val="28"/>
        </w:rPr>
      </w:pPr>
      <w:r>
        <w:rPr>
          <w:rFonts w:hint="eastAsia" w:ascii="仿宋" w:hAnsi="仿宋" w:eastAsia="仿宋"/>
          <w:sz w:val="24"/>
          <w:szCs w:val="28"/>
        </w:rPr>
        <w:t>年    月   日</w:t>
      </w:r>
    </w:p>
    <w:p>
      <w:pPr>
        <w:tabs>
          <w:tab w:val="left" w:pos="6300"/>
        </w:tabs>
        <w:snapToGrid w:val="0"/>
        <w:spacing w:line="500" w:lineRule="exact"/>
        <w:ind w:firstLine="560" w:firstLineChars="200"/>
        <w:outlineLvl w:val="0"/>
        <w:rPr>
          <w:rFonts w:hint="eastAsia" w:ascii="仿宋" w:hAnsi="仿宋" w:eastAsia="仿宋"/>
        </w:rPr>
      </w:pPr>
      <w:r>
        <w:rPr>
          <w:rFonts w:ascii="仿宋" w:hAnsi="仿宋" w:eastAsia="仿宋"/>
          <w:szCs w:val="44"/>
        </w:rPr>
        <w:br w:type="page"/>
      </w:r>
      <w:r>
        <w:rPr>
          <w:rFonts w:hint="eastAsia" w:ascii="仿宋" w:hAnsi="仿宋" w:eastAsia="仿宋"/>
        </w:rPr>
        <w:t>（二）商务条款差异表</w:t>
      </w:r>
    </w:p>
    <w:p>
      <w:pPr>
        <w:pStyle w:val="32"/>
        <w:tabs>
          <w:tab w:val="left" w:pos="6300"/>
        </w:tabs>
        <w:snapToGrid w:val="0"/>
        <w:spacing w:line="500" w:lineRule="exact"/>
        <w:ind w:firstLine="480" w:firstLineChars="200"/>
        <w:outlineLvl w:val="0"/>
        <w:rPr>
          <w:rFonts w:hint="eastAsia" w:ascii="仿宋" w:hAnsi="仿宋" w:eastAsia="仿宋"/>
          <w:sz w:val="24"/>
        </w:rPr>
      </w:pPr>
      <w:r>
        <w:rPr>
          <w:rFonts w:hint="eastAsia" w:ascii="仿宋" w:hAnsi="仿宋" w:eastAsia="仿宋"/>
          <w:sz w:val="24"/>
          <w:szCs w:val="28"/>
        </w:rPr>
        <w:t>招标项目名称</w:t>
      </w:r>
      <w:r>
        <w:rPr>
          <w:rFonts w:hint="eastAsia" w:ascii="仿宋" w:hAnsi="仿宋" w:eastAsia="仿宋"/>
          <w:sz w:val="24"/>
        </w:rPr>
        <w:t>：</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r>
              <w:rPr>
                <w:rFonts w:hint="eastAsia" w:ascii="仿宋" w:hAnsi="仿宋" w:eastAsia="仿宋"/>
                <w:sz w:val="21"/>
                <w:szCs w:val="21"/>
              </w:rPr>
              <w:t>序号</w:t>
            </w: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r>
              <w:rPr>
                <w:rFonts w:hint="eastAsia" w:ascii="仿宋" w:hAnsi="仿宋" w:eastAsia="仿宋"/>
                <w:sz w:val="21"/>
                <w:szCs w:val="21"/>
              </w:rPr>
              <w:t>招标商务要求</w:t>
            </w: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r>
              <w:rPr>
                <w:rFonts w:hint="eastAsia" w:ascii="仿宋" w:hAnsi="仿宋" w:eastAsia="仿宋"/>
                <w:sz w:val="21"/>
                <w:szCs w:val="21"/>
              </w:rPr>
              <w:t>投标商务应答</w:t>
            </w: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r>
              <w:rPr>
                <w:rFonts w:hint="eastAsia" w:ascii="仿宋" w:hAnsi="仿宋" w:eastAsia="仿宋"/>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42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2520"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c>
          <w:tcPr>
            <w:tcW w:w="1888" w:type="dxa"/>
            <w:noWrap w:val="0"/>
            <w:vAlign w:val="center"/>
          </w:tcPr>
          <w:p>
            <w:pPr>
              <w:tabs>
                <w:tab w:val="left" w:pos="6300"/>
              </w:tabs>
              <w:snapToGrid w:val="0"/>
              <w:spacing w:line="500" w:lineRule="exact"/>
              <w:jc w:val="center"/>
              <w:outlineLvl w:val="0"/>
              <w:rPr>
                <w:rFonts w:hint="eastAsia" w:ascii="仿宋" w:hAnsi="仿宋" w:eastAsia="仿宋"/>
                <w:sz w:val="21"/>
                <w:szCs w:val="21"/>
              </w:rPr>
            </w:pPr>
          </w:p>
        </w:tc>
      </w:tr>
    </w:tbl>
    <w:p>
      <w:pPr>
        <w:spacing w:line="500" w:lineRule="exact"/>
        <w:ind w:firstLine="600" w:firstLineChars="250"/>
        <w:rPr>
          <w:rFonts w:hint="eastAsia" w:ascii="仿宋" w:hAnsi="仿宋" w:eastAsia="仿宋"/>
          <w:sz w:val="24"/>
          <w:szCs w:val="28"/>
        </w:rPr>
      </w:pPr>
      <w:r>
        <w:rPr>
          <w:rFonts w:hint="eastAsia" w:ascii="仿宋" w:hAnsi="仿宋" w:eastAsia="仿宋"/>
          <w:sz w:val="24"/>
          <w:szCs w:val="28"/>
        </w:rPr>
        <w:t>投标人：                            法定代表人或法定代表人授权代表：</w:t>
      </w:r>
    </w:p>
    <w:p>
      <w:pPr>
        <w:spacing w:line="500" w:lineRule="exact"/>
        <w:rPr>
          <w:rFonts w:hint="eastAsia" w:ascii="仿宋" w:hAnsi="仿宋" w:eastAsia="仿宋"/>
          <w:sz w:val="24"/>
          <w:szCs w:val="28"/>
        </w:rPr>
      </w:pPr>
    </w:p>
    <w:p>
      <w:pPr>
        <w:spacing w:line="500" w:lineRule="exact"/>
        <w:rPr>
          <w:rFonts w:hint="eastAsia" w:ascii="仿宋" w:hAnsi="仿宋" w:eastAsia="仿宋"/>
          <w:sz w:val="24"/>
          <w:szCs w:val="28"/>
        </w:rPr>
      </w:pPr>
      <w:r>
        <w:rPr>
          <w:rFonts w:hint="eastAsia" w:ascii="仿宋" w:hAnsi="仿宋" w:eastAsia="仿宋"/>
          <w:sz w:val="24"/>
          <w:szCs w:val="28"/>
        </w:rPr>
        <w:t xml:space="preserve">    （投标人公章）                               （签字或盖章）</w:t>
      </w: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szCs w:val="28"/>
        </w:rPr>
        <w:t xml:space="preserve">                                            年     月     日</w:t>
      </w: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注：</w:t>
      </w:r>
    </w:p>
    <w:p>
      <w:pPr>
        <w:tabs>
          <w:tab w:val="left" w:pos="6300"/>
        </w:tabs>
        <w:snapToGrid w:val="0"/>
        <w:spacing w:line="500" w:lineRule="exact"/>
        <w:ind w:firstLine="570"/>
        <w:rPr>
          <w:rFonts w:hint="eastAsia" w:ascii="仿宋" w:hAnsi="仿宋" w:eastAsia="仿宋"/>
          <w:sz w:val="24"/>
          <w:szCs w:val="24"/>
        </w:rPr>
      </w:pPr>
      <w:r>
        <w:rPr>
          <w:rFonts w:hint="eastAsia" w:ascii="仿宋" w:hAnsi="仿宋" w:eastAsia="仿宋"/>
          <w:sz w:val="24"/>
          <w:szCs w:val="24"/>
        </w:rPr>
        <w:t>1.本表即为对本项目“第三篇 项目商务要求”中所列商务条款进行比较和响应；</w:t>
      </w:r>
    </w:p>
    <w:p>
      <w:pPr>
        <w:tabs>
          <w:tab w:val="left" w:pos="6300"/>
        </w:tabs>
        <w:snapToGrid w:val="0"/>
        <w:spacing w:line="500" w:lineRule="exact"/>
        <w:ind w:firstLine="570"/>
        <w:rPr>
          <w:rFonts w:hint="eastAsia" w:ascii="仿宋" w:hAnsi="仿宋" w:eastAsia="仿宋"/>
          <w:sz w:val="24"/>
          <w:szCs w:val="24"/>
        </w:rPr>
      </w:pPr>
      <w:r>
        <w:rPr>
          <w:rFonts w:hint="eastAsia" w:ascii="仿宋" w:hAnsi="仿宋" w:eastAsia="仿宋"/>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ascii="仿宋" w:hAnsi="仿宋" w:eastAsia="仿宋"/>
          <w:sz w:val="24"/>
          <w:szCs w:val="24"/>
        </w:rPr>
      </w:pPr>
      <w:r>
        <w:rPr>
          <w:rFonts w:hint="eastAsia" w:ascii="仿宋" w:hAnsi="仿宋" w:eastAsia="仿宋"/>
          <w:sz w:val="24"/>
          <w:szCs w:val="24"/>
        </w:rPr>
        <w:t>3.该表可扩展。</w:t>
      </w:r>
    </w:p>
    <w:p>
      <w:pPr>
        <w:tabs>
          <w:tab w:val="left" w:pos="6300"/>
        </w:tabs>
        <w:snapToGrid w:val="0"/>
        <w:spacing w:line="500" w:lineRule="exact"/>
        <w:rPr>
          <w:rFonts w:hint="eastAsia" w:ascii="方正仿宋_GBK" w:hAnsi="仿宋" w:eastAsia="方正仿宋_GBK"/>
          <w:szCs w:val="28"/>
        </w:rPr>
      </w:pPr>
      <w:r>
        <w:rPr>
          <w:rFonts w:ascii="仿宋" w:hAnsi="仿宋" w:eastAsia="仿宋"/>
          <w:szCs w:val="28"/>
        </w:rPr>
        <w:br w:type="page"/>
      </w:r>
      <w:r>
        <w:rPr>
          <w:rFonts w:hint="eastAsia" w:ascii="仿宋" w:hAnsi="仿宋" w:eastAsia="仿宋"/>
        </w:rPr>
        <w:t>（三）</w:t>
      </w:r>
      <w:r>
        <w:rPr>
          <w:rFonts w:hint="eastAsia" w:ascii="方正仿宋_GBK" w:hAnsi="仿宋" w:eastAsia="方正仿宋_GBK"/>
          <w:szCs w:val="28"/>
        </w:rPr>
        <w:t>其他商务资料</w:t>
      </w:r>
    </w:p>
    <w:p>
      <w:pPr>
        <w:tabs>
          <w:tab w:val="left" w:pos="6300"/>
        </w:tabs>
        <w:snapToGrid w:val="0"/>
        <w:spacing w:line="500" w:lineRule="exact"/>
        <w:ind w:firstLine="480" w:firstLineChars="200"/>
        <w:outlineLvl w:val="0"/>
        <w:rPr>
          <w:rFonts w:ascii="仿宋" w:hAnsi="仿宋" w:eastAsia="仿宋"/>
          <w:sz w:val="24"/>
          <w:szCs w:val="24"/>
        </w:rPr>
      </w:pPr>
      <w:r>
        <w:rPr>
          <w:rFonts w:hint="eastAsia" w:ascii="方正仿宋_GBK" w:hAnsi="宋体" w:eastAsia="方正仿宋_GBK"/>
          <w:sz w:val="24"/>
          <w:szCs w:val="24"/>
        </w:rPr>
        <w:t>（自拟，按照第三篇、第四篇的要求拟定）</w:t>
      </w:r>
    </w:p>
    <w:p>
      <w:pPr>
        <w:tabs>
          <w:tab w:val="left" w:pos="6300"/>
        </w:tabs>
        <w:snapToGrid w:val="0"/>
        <w:spacing w:line="500" w:lineRule="exact"/>
        <w:ind w:firstLine="480" w:firstLineChars="200"/>
        <w:outlineLvl w:val="0"/>
        <w:rPr>
          <w:rFonts w:hint="eastAsia" w:ascii="仿宋" w:hAnsi="仿宋" w:eastAsia="仿宋"/>
          <w:sz w:val="24"/>
        </w:rPr>
      </w:pPr>
      <w:r>
        <w:rPr>
          <w:rFonts w:hint="eastAsia" w:ascii="仿宋" w:hAnsi="仿宋" w:eastAsia="仿宋"/>
          <w:sz w:val="24"/>
        </w:rPr>
        <w:t xml:space="preserve"> </w:t>
      </w:r>
    </w:p>
    <w:p>
      <w:pPr>
        <w:pStyle w:val="4"/>
        <w:pageBreakBefore/>
        <w:spacing w:line="500" w:lineRule="exact"/>
        <w:rPr>
          <w:rFonts w:hint="eastAsia" w:ascii="仿宋" w:hAnsi="仿宋" w:eastAsia="仿宋"/>
          <w:b/>
          <w:szCs w:val="28"/>
        </w:rPr>
      </w:pPr>
      <w:bookmarkStart w:id="59" w:name="_Toc492721041"/>
      <w:bookmarkStart w:id="60" w:name="_Toc429584888"/>
      <w:bookmarkStart w:id="61" w:name="_Toc25413"/>
      <w:r>
        <w:rPr>
          <w:rFonts w:hint="eastAsia" w:ascii="仿宋" w:hAnsi="仿宋" w:eastAsia="仿宋"/>
          <w:b/>
          <w:szCs w:val="28"/>
        </w:rPr>
        <w:t>四、其他</w:t>
      </w:r>
      <w:bookmarkEnd w:id="59"/>
      <w:bookmarkEnd w:id="60"/>
      <w:bookmarkEnd w:id="61"/>
    </w:p>
    <w:p>
      <w:pPr>
        <w:tabs>
          <w:tab w:val="left" w:pos="6300"/>
        </w:tabs>
        <w:snapToGrid w:val="0"/>
        <w:spacing w:line="500" w:lineRule="exact"/>
        <w:jc w:val="left"/>
        <w:rPr>
          <w:rFonts w:hint="eastAsia" w:ascii="仿宋" w:hAnsi="仿宋" w:eastAsia="仿宋"/>
        </w:rPr>
      </w:pPr>
    </w:p>
    <w:p>
      <w:pPr>
        <w:tabs>
          <w:tab w:val="left" w:pos="6300"/>
        </w:tabs>
        <w:snapToGrid w:val="0"/>
        <w:spacing w:line="500" w:lineRule="exact"/>
        <w:jc w:val="left"/>
        <w:rPr>
          <w:rFonts w:hint="eastAsia" w:ascii="仿宋" w:hAnsi="仿宋" w:eastAsia="仿宋"/>
        </w:rPr>
      </w:pPr>
      <w:r>
        <w:rPr>
          <w:rFonts w:hint="eastAsia" w:ascii="仿宋" w:hAnsi="仿宋" w:eastAsia="仿宋"/>
        </w:rPr>
        <w:t>（一）其他与项目有关的资料（自附）</w:t>
      </w:r>
    </w:p>
    <w:p>
      <w:pPr>
        <w:pStyle w:val="4"/>
        <w:pageBreakBefore/>
        <w:spacing w:line="500" w:lineRule="exact"/>
        <w:rPr>
          <w:rFonts w:hint="eastAsia" w:ascii="仿宋" w:hAnsi="仿宋" w:eastAsia="仿宋"/>
          <w:b/>
          <w:szCs w:val="28"/>
        </w:rPr>
      </w:pPr>
      <w:bookmarkStart w:id="62" w:name="_Toc429584885"/>
      <w:bookmarkStart w:id="63" w:name="_Toc492721038"/>
      <w:bookmarkStart w:id="64" w:name="_Toc13157"/>
      <w:r>
        <w:rPr>
          <w:rFonts w:hint="eastAsia" w:ascii="仿宋" w:hAnsi="仿宋" w:eastAsia="仿宋"/>
          <w:b/>
          <w:szCs w:val="28"/>
        </w:rPr>
        <w:t>五、资格文件</w:t>
      </w:r>
      <w:bookmarkEnd w:id="62"/>
      <w:bookmarkEnd w:id="63"/>
      <w:r>
        <w:rPr>
          <w:rFonts w:hint="eastAsia" w:ascii="仿宋" w:hAnsi="仿宋" w:eastAsia="仿宋"/>
          <w:b/>
          <w:szCs w:val="28"/>
        </w:rPr>
        <w:t>（单独装订）</w:t>
      </w:r>
      <w:bookmarkEnd w:id="64"/>
    </w:p>
    <w:p>
      <w:pPr>
        <w:tabs>
          <w:tab w:val="left" w:pos="6300"/>
        </w:tabs>
        <w:snapToGrid w:val="0"/>
        <w:spacing w:line="500" w:lineRule="exact"/>
        <w:ind w:firstLine="570"/>
        <w:rPr>
          <w:rFonts w:hint="eastAsia" w:ascii="仿宋" w:hAnsi="仿宋" w:eastAsia="仿宋"/>
        </w:rPr>
      </w:pPr>
      <w:r>
        <w:rPr>
          <w:rFonts w:hint="eastAsia" w:ascii="仿宋" w:hAnsi="仿宋" w:eastAsia="仿宋"/>
        </w:rPr>
        <w:t>（一）营业执照（副本）</w:t>
      </w:r>
      <w:r>
        <w:rPr>
          <w:rFonts w:hint="eastAsia" w:ascii="仿宋" w:hAnsi="仿宋" w:eastAsia="仿宋"/>
          <w:szCs w:val="28"/>
        </w:rPr>
        <w:t>或事业单位法人证书（副本）</w:t>
      </w:r>
      <w:r>
        <w:rPr>
          <w:rFonts w:hint="eastAsia" w:ascii="仿宋" w:hAnsi="仿宋" w:eastAsia="仿宋"/>
        </w:rPr>
        <w:t>复印件</w:t>
      </w:r>
    </w:p>
    <w:p>
      <w:pPr>
        <w:tabs>
          <w:tab w:val="left" w:pos="6300"/>
        </w:tabs>
        <w:snapToGrid w:val="0"/>
        <w:spacing w:line="500" w:lineRule="exact"/>
        <w:ind w:firstLine="570"/>
        <w:rPr>
          <w:rFonts w:hint="eastAsia" w:ascii="仿宋" w:hAnsi="仿宋" w:eastAsia="仿宋"/>
        </w:rPr>
      </w:pPr>
    </w:p>
    <w:p>
      <w:pPr>
        <w:tabs>
          <w:tab w:val="left" w:pos="6300"/>
        </w:tabs>
        <w:snapToGrid w:val="0"/>
        <w:spacing w:line="500" w:lineRule="exact"/>
        <w:ind w:firstLine="570"/>
        <w:rPr>
          <w:rFonts w:hint="eastAsia" w:ascii="仿宋" w:hAnsi="仿宋" w:eastAsia="仿宋"/>
        </w:rPr>
      </w:pPr>
      <w:r>
        <w:rPr>
          <w:rFonts w:hint="eastAsia" w:ascii="仿宋" w:hAnsi="仿宋" w:eastAsia="仿宋"/>
        </w:rPr>
        <w:t>（二）组织机构代码证复印件</w:t>
      </w:r>
    </w:p>
    <w:p>
      <w:pPr>
        <w:tabs>
          <w:tab w:val="left" w:pos="6300"/>
        </w:tabs>
        <w:snapToGrid w:val="0"/>
        <w:spacing w:line="500" w:lineRule="exact"/>
        <w:ind w:firstLine="570"/>
        <w:rPr>
          <w:rFonts w:hint="eastAsia" w:ascii="仿宋" w:hAnsi="仿宋" w:eastAsia="仿宋"/>
        </w:rPr>
      </w:pPr>
    </w:p>
    <w:p>
      <w:pPr>
        <w:tabs>
          <w:tab w:val="left" w:pos="6300"/>
        </w:tabs>
        <w:snapToGrid w:val="0"/>
        <w:spacing w:line="500" w:lineRule="exact"/>
        <w:ind w:firstLine="570"/>
        <w:rPr>
          <w:rFonts w:hint="eastAsia" w:ascii="仿宋" w:hAnsi="仿宋" w:eastAsia="仿宋"/>
        </w:rPr>
      </w:pPr>
    </w:p>
    <w:p>
      <w:pPr>
        <w:tabs>
          <w:tab w:val="left" w:pos="6300"/>
        </w:tabs>
        <w:snapToGrid w:val="0"/>
        <w:spacing w:line="500" w:lineRule="exact"/>
        <w:ind w:firstLine="570"/>
        <w:rPr>
          <w:rFonts w:hint="eastAsia" w:ascii="仿宋" w:hAnsi="仿宋" w:eastAsia="仿宋"/>
        </w:rPr>
      </w:pPr>
    </w:p>
    <w:p>
      <w:pPr>
        <w:widowControl/>
        <w:ind w:firstLine="560" w:firstLineChars="200"/>
        <w:jc w:val="left"/>
        <w:rPr>
          <w:rFonts w:hint="eastAsia" w:ascii="仿宋" w:hAnsi="仿宋" w:eastAsia="仿宋"/>
        </w:rPr>
      </w:pPr>
      <w:r>
        <w:rPr>
          <w:rFonts w:ascii="仿宋" w:hAnsi="仿宋" w:eastAsia="仿宋"/>
        </w:rPr>
        <w:br w:type="page"/>
      </w:r>
      <w:r>
        <w:rPr>
          <w:rFonts w:hint="eastAsia" w:ascii="仿宋" w:hAnsi="仿宋" w:eastAsia="仿宋"/>
        </w:rPr>
        <w:t>（三）法定代表人身份证明书（格式）</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招标项目名称：</w:t>
      </w:r>
      <w:r>
        <w:rPr>
          <w:rFonts w:hint="eastAsia" w:ascii="仿宋" w:hAnsi="仿宋" w:eastAsia="仿宋"/>
          <w:sz w:val="24"/>
          <w:u w:val="single"/>
        </w:rPr>
        <w:t xml:space="preserve">                                                </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（采购代理机构名称）：</w:t>
      </w: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（法定代表人姓名）在</w:t>
      </w:r>
      <w:r>
        <w:rPr>
          <w:rFonts w:hint="eastAsia" w:ascii="仿宋" w:hAnsi="仿宋" w:eastAsia="仿宋"/>
          <w:sz w:val="24"/>
          <w:u w:val="single"/>
        </w:rPr>
        <w:t xml:space="preserve">                       </w:t>
      </w:r>
      <w:r>
        <w:rPr>
          <w:rFonts w:hint="eastAsia" w:ascii="仿宋" w:hAnsi="仿宋" w:eastAsia="仿宋"/>
          <w:sz w:val="24"/>
        </w:rPr>
        <w:t>（投标人名称）任</w:t>
      </w:r>
      <w:r>
        <w:rPr>
          <w:rFonts w:hint="eastAsia" w:ascii="仿宋" w:hAnsi="仿宋" w:eastAsia="仿宋"/>
          <w:sz w:val="24"/>
          <w:u w:val="single"/>
        </w:rPr>
        <w:t xml:space="preserve">    </w:t>
      </w:r>
      <w:r>
        <w:rPr>
          <w:rFonts w:hint="eastAsia" w:ascii="仿宋" w:hAnsi="仿宋" w:eastAsia="仿宋"/>
          <w:sz w:val="24"/>
        </w:rPr>
        <w:t>（职务名称）职务，是（投标人名称）</w:t>
      </w:r>
      <w:r>
        <w:rPr>
          <w:rFonts w:hint="eastAsia" w:ascii="仿宋" w:hAnsi="仿宋" w:eastAsia="仿宋"/>
          <w:sz w:val="24"/>
          <w:u w:val="single"/>
        </w:rPr>
        <w:t xml:space="preserve">              </w:t>
      </w:r>
      <w:r>
        <w:rPr>
          <w:rFonts w:hint="eastAsia" w:ascii="仿宋" w:hAnsi="仿宋" w:eastAsia="仿宋"/>
          <w:sz w:val="24"/>
        </w:rPr>
        <w:t>的法定代表人。</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特此证明。</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 xml:space="preserve">                                             （投标人公章）</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 xml:space="preserve">                                             年   月   日</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（附：法定代表人身份证正反面复印件）</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rPr>
      </w:pPr>
      <w:r>
        <w:rPr>
          <w:rFonts w:ascii="仿宋" w:hAnsi="仿宋" w:eastAsia="仿宋"/>
        </w:rPr>
        <w:br w:type="column"/>
      </w:r>
      <w:r>
        <w:rPr>
          <w:rFonts w:hint="eastAsia" w:ascii="仿宋" w:hAnsi="仿宋" w:eastAsia="仿宋"/>
        </w:rPr>
        <w:t>（四）法定代表人授权委托书（格式）</w:t>
      </w: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 xml:space="preserve">    </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szCs w:val="28"/>
        </w:rPr>
        <w:t>招标项目名称</w:t>
      </w:r>
      <w:r>
        <w:rPr>
          <w:rFonts w:hint="eastAsia" w:ascii="仿宋" w:hAnsi="仿宋" w:eastAsia="仿宋"/>
          <w:sz w:val="24"/>
        </w:rPr>
        <w:t>：</w:t>
      </w:r>
      <w:r>
        <w:rPr>
          <w:rFonts w:hint="eastAsia" w:ascii="仿宋" w:hAnsi="仿宋" w:eastAsia="仿宋"/>
          <w:sz w:val="24"/>
          <w:u w:val="single"/>
        </w:rPr>
        <w:t xml:space="preserve">                                                </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（采购代理机构名称）：</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（投标人法定代表人名称）是</w:t>
      </w:r>
      <w:r>
        <w:rPr>
          <w:rFonts w:hint="eastAsia" w:ascii="仿宋" w:hAnsi="仿宋" w:eastAsia="仿宋"/>
          <w:sz w:val="24"/>
          <w:u w:val="single"/>
        </w:rPr>
        <w:t xml:space="preserve">                    </w:t>
      </w:r>
      <w:r>
        <w:rPr>
          <w:rFonts w:hint="eastAsia" w:ascii="仿宋" w:hAnsi="仿宋" w:eastAsia="仿宋"/>
          <w:sz w:val="24"/>
        </w:rPr>
        <w:t>（投标人名称）的法定代表人，特授权</w:t>
      </w:r>
      <w:r>
        <w:rPr>
          <w:rFonts w:hint="eastAsia" w:ascii="仿宋" w:hAnsi="仿宋" w:eastAsia="仿宋"/>
          <w:sz w:val="24"/>
          <w:u w:val="single"/>
        </w:rPr>
        <w:t xml:space="preserve">          </w:t>
      </w:r>
      <w:r>
        <w:rPr>
          <w:rFonts w:hint="eastAsia" w:ascii="仿宋" w:hAnsi="仿宋" w:eastAsia="仿宋"/>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我单位对被授权人的签字负全部责任。</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被授权人：                                 投标人法定代表人：</w:t>
      </w:r>
    </w:p>
    <w:p>
      <w:pPr>
        <w:tabs>
          <w:tab w:val="left" w:pos="6300"/>
        </w:tabs>
        <w:snapToGrid w:val="0"/>
        <w:spacing w:line="500" w:lineRule="exact"/>
        <w:ind w:firstLine="570"/>
        <w:rPr>
          <w:rFonts w:hint="eastAsia" w:ascii="仿宋" w:hAnsi="仿宋" w:eastAsia="仿宋"/>
          <w:sz w:val="24"/>
          <w:szCs w:val="28"/>
        </w:rPr>
      </w:pPr>
      <w:r>
        <w:rPr>
          <w:rFonts w:hint="eastAsia" w:ascii="仿宋" w:hAnsi="仿宋" w:eastAsia="仿宋"/>
          <w:sz w:val="24"/>
          <w:szCs w:val="28"/>
        </w:rPr>
        <w:t>（签字或盖章）                                （签字或盖章）</w:t>
      </w:r>
    </w:p>
    <w:p>
      <w:pPr>
        <w:tabs>
          <w:tab w:val="left" w:pos="6300"/>
        </w:tabs>
        <w:snapToGrid w:val="0"/>
        <w:spacing w:line="500" w:lineRule="exact"/>
        <w:ind w:firstLine="570"/>
        <w:rPr>
          <w:rFonts w:hint="eastAsia" w:ascii="仿宋" w:hAnsi="仿宋" w:eastAsia="仿宋"/>
          <w:sz w:val="24"/>
          <w:szCs w:val="28"/>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（附：被授权人身份证正反面复印件）</w:t>
      </w:r>
    </w:p>
    <w:p>
      <w:pPr>
        <w:tabs>
          <w:tab w:val="left" w:pos="6300"/>
        </w:tabs>
        <w:snapToGrid w:val="0"/>
        <w:spacing w:line="500" w:lineRule="exact"/>
        <w:ind w:firstLine="570"/>
        <w:rPr>
          <w:rFonts w:hint="eastAsia" w:ascii="仿宋" w:hAnsi="仿宋" w:eastAsia="仿宋"/>
          <w:sz w:val="24"/>
        </w:rPr>
      </w:pPr>
      <w:r>
        <w:rPr>
          <w:rFonts w:hint="eastAsia" w:ascii="仿宋" w:hAnsi="仿宋" w:eastAsia="仿宋"/>
          <w:sz w:val="24"/>
        </w:rPr>
        <w:t xml:space="preserve">                                          </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right="480" w:firstLine="570"/>
        <w:jc w:val="right"/>
        <w:rPr>
          <w:rFonts w:hint="eastAsia" w:ascii="仿宋" w:hAnsi="仿宋" w:eastAsia="仿宋"/>
          <w:sz w:val="24"/>
        </w:rPr>
      </w:pPr>
      <w:r>
        <w:rPr>
          <w:rFonts w:hint="eastAsia" w:ascii="仿宋" w:hAnsi="仿宋" w:eastAsia="仿宋"/>
          <w:sz w:val="24"/>
        </w:rPr>
        <w:t>（投标人公章）</w:t>
      </w:r>
    </w:p>
    <w:p>
      <w:pPr>
        <w:tabs>
          <w:tab w:val="left" w:pos="6300"/>
        </w:tabs>
        <w:snapToGrid w:val="0"/>
        <w:spacing w:line="500" w:lineRule="exact"/>
        <w:ind w:right="480" w:firstLine="570"/>
        <w:jc w:val="right"/>
        <w:rPr>
          <w:rFonts w:hint="eastAsia" w:ascii="仿宋" w:hAnsi="仿宋" w:eastAsia="仿宋"/>
          <w:sz w:val="24"/>
        </w:rPr>
      </w:pPr>
      <w:r>
        <w:rPr>
          <w:rFonts w:hint="eastAsia" w:ascii="仿宋" w:hAnsi="仿宋" w:eastAsia="仿宋"/>
          <w:sz w:val="24"/>
        </w:rPr>
        <w:t>年   月   日</w:t>
      </w:r>
    </w:p>
    <w:p>
      <w:pPr>
        <w:tabs>
          <w:tab w:val="left" w:pos="6300"/>
        </w:tabs>
        <w:snapToGrid w:val="0"/>
        <w:spacing w:line="500" w:lineRule="exact"/>
        <w:ind w:right="480" w:firstLine="570"/>
        <w:jc w:val="right"/>
        <w:rPr>
          <w:rFonts w:hint="eastAsia" w:ascii="仿宋" w:hAnsi="仿宋" w:eastAsia="仿宋"/>
          <w:sz w:val="24"/>
        </w:rPr>
      </w:pPr>
    </w:p>
    <w:p>
      <w:pPr>
        <w:tabs>
          <w:tab w:val="left" w:pos="6300"/>
        </w:tabs>
        <w:snapToGrid w:val="0"/>
        <w:spacing w:line="500" w:lineRule="exact"/>
        <w:ind w:right="480" w:firstLine="570"/>
        <w:jc w:val="left"/>
        <w:rPr>
          <w:rFonts w:hint="eastAsia" w:ascii="仿宋" w:hAnsi="仿宋" w:eastAsia="仿宋"/>
          <w:sz w:val="24"/>
        </w:rPr>
      </w:pPr>
      <w:r>
        <w:rPr>
          <w:rFonts w:hint="eastAsia" w:ascii="仿宋" w:hAnsi="仿宋" w:eastAsia="仿宋"/>
          <w:sz w:val="24"/>
        </w:rPr>
        <w:t>注：</w:t>
      </w:r>
    </w:p>
    <w:p>
      <w:pPr>
        <w:tabs>
          <w:tab w:val="left" w:pos="6300"/>
        </w:tabs>
        <w:snapToGrid w:val="0"/>
        <w:spacing w:line="500" w:lineRule="exact"/>
        <w:ind w:right="480" w:firstLine="570"/>
        <w:jc w:val="left"/>
        <w:rPr>
          <w:rFonts w:hint="eastAsia" w:ascii="仿宋" w:hAnsi="仿宋" w:eastAsia="仿宋"/>
          <w:sz w:val="24"/>
        </w:rPr>
      </w:pPr>
      <w:r>
        <w:rPr>
          <w:rFonts w:hint="eastAsia" w:ascii="仿宋" w:hAnsi="仿宋" w:eastAsia="仿宋"/>
          <w:sz w:val="24"/>
        </w:rPr>
        <w:t>1.若为法定代表人办理并签署投标文件的，不提供此文件。</w:t>
      </w:r>
    </w:p>
    <w:p>
      <w:pPr>
        <w:tabs>
          <w:tab w:val="left" w:pos="6300"/>
        </w:tabs>
        <w:snapToGrid w:val="0"/>
        <w:spacing w:line="500" w:lineRule="exact"/>
        <w:ind w:right="480" w:firstLine="570"/>
        <w:jc w:val="left"/>
        <w:rPr>
          <w:rFonts w:hint="eastAsia" w:ascii="仿宋" w:hAnsi="仿宋" w:eastAsia="仿宋"/>
          <w:sz w:val="24"/>
        </w:rPr>
      </w:pPr>
      <w:r>
        <w:rPr>
          <w:rFonts w:hint="eastAsia" w:ascii="仿宋" w:hAnsi="仿宋" w:eastAsia="仿宋"/>
          <w:sz w:val="24"/>
        </w:rPr>
        <w:t>2.若为联合体投标的，法定代表人授权委托书由联合体主办方</w:t>
      </w:r>
      <w:r>
        <w:rPr>
          <w:rFonts w:hint="eastAsia" w:ascii="仿宋" w:hAnsi="仿宋" w:eastAsia="仿宋" w:cs="宋体"/>
          <w:kern w:val="0"/>
          <w:sz w:val="24"/>
          <w:szCs w:val="24"/>
        </w:rPr>
        <w:t>（主体）</w:t>
      </w:r>
      <w:r>
        <w:rPr>
          <w:rFonts w:hint="eastAsia" w:ascii="仿宋" w:hAnsi="仿宋" w:eastAsia="仿宋"/>
          <w:sz w:val="24"/>
        </w:rPr>
        <w:t>出具。</w:t>
      </w:r>
    </w:p>
    <w:p>
      <w:pPr>
        <w:tabs>
          <w:tab w:val="left" w:pos="6300"/>
        </w:tabs>
        <w:snapToGrid w:val="0"/>
        <w:spacing w:line="500" w:lineRule="exact"/>
        <w:ind w:firstLine="570"/>
        <w:rPr>
          <w:rFonts w:hint="eastAsia" w:ascii="仿宋" w:hAnsi="仿宋" w:eastAsia="仿宋"/>
        </w:rPr>
      </w:pPr>
      <w:r>
        <w:rPr>
          <w:rFonts w:ascii="仿宋" w:hAnsi="仿宋" w:eastAsia="仿宋"/>
        </w:rPr>
        <w:br w:type="column"/>
      </w:r>
    </w:p>
    <w:p>
      <w:pPr>
        <w:tabs>
          <w:tab w:val="left" w:pos="6300"/>
        </w:tabs>
        <w:snapToGrid w:val="0"/>
        <w:spacing w:line="500" w:lineRule="exact"/>
        <w:jc w:val="center"/>
        <w:rPr>
          <w:rFonts w:hint="eastAsia" w:ascii="仿宋" w:hAnsi="仿宋" w:eastAsia="仿宋"/>
          <w:sz w:val="24"/>
        </w:rPr>
      </w:pPr>
      <w:r>
        <w:rPr>
          <w:rFonts w:hint="eastAsia" w:ascii="仿宋" w:hAnsi="仿宋" w:eastAsia="仿宋"/>
        </w:rPr>
        <w:t>（五）书面声明</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szCs w:val="28"/>
        </w:rPr>
        <w:t>招标项目名称</w:t>
      </w:r>
      <w:r>
        <w:rPr>
          <w:rFonts w:hint="eastAsia" w:ascii="仿宋" w:hAnsi="仿宋" w:eastAsia="仿宋"/>
          <w:sz w:val="24"/>
        </w:rPr>
        <w:t>：</w:t>
      </w:r>
      <w:r>
        <w:rPr>
          <w:rFonts w:hint="eastAsia" w:ascii="仿宋" w:hAnsi="仿宋" w:eastAsia="仿宋"/>
          <w:sz w:val="24"/>
          <w:u w:val="single"/>
        </w:rPr>
        <w:t xml:space="preserve">                                                </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（采购代理机构名称）：</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480" w:firstLineChars="200"/>
        <w:rPr>
          <w:rFonts w:hint="eastAsia" w:ascii="仿宋" w:hAnsi="仿宋" w:eastAsia="仿宋"/>
          <w:sz w:val="24"/>
        </w:rPr>
      </w:pP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特此声明。</w:t>
      </w: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firstLine="570"/>
        <w:rPr>
          <w:rFonts w:hint="eastAsia" w:ascii="仿宋" w:hAnsi="仿宋" w:eastAsia="仿宋"/>
          <w:sz w:val="24"/>
        </w:rPr>
      </w:pPr>
    </w:p>
    <w:p>
      <w:pPr>
        <w:tabs>
          <w:tab w:val="left" w:pos="6300"/>
        </w:tabs>
        <w:snapToGrid w:val="0"/>
        <w:spacing w:line="500" w:lineRule="exact"/>
        <w:ind w:right="424" w:firstLine="570"/>
        <w:jc w:val="right"/>
        <w:rPr>
          <w:rFonts w:hint="eastAsia" w:ascii="仿宋" w:hAnsi="仿宋" w:eastAsia="仿宋"/>
          <w:sz w:val="24"/>
        </w:rPr>
      </w:pPr>
      <w:r>
        <w:rPr>
          <w:rFonts w:hint="eastAsia" w:ascii="仿宋" w:hAnsi="仿宋" w:eastAsia="仿宋"/>
          <w:sz w:val="24"/>
        </w:rPr>
        <w:t>（投标人公章）</w:t>
      </w:r>
    </w:p>
    <w:p>
      <w:pPr>
        <w:tabs>
          <w:tab w:val="left" w:pos="6300"/>
        </w:tabs>
        <w:snapToGrid w:val="0"/>
        <w:spacing w:line="500" w:lineRule="exact"/>
        <w:ind w:right="480" w:firstLine="570"/>
        <w:jc w:val="right"/>
        <w:rPr>
          <w:rFonts w:hint="eastAsia" w:ascii="仿宋" w:hAnsi="仿宋" w:eastAsia="仿宋"/>
          <w:sz w:val="24"/>
        </w:rPr>
      </w:pPr>
      <w:r>
        <w:rPr>
          <w:rFonts w:hint="eastAsia" w:ascii="仿宋" w:hAnsi="仿宋" w:eastAsia="仿宋"/>
          <w:sz w:val="24"/>
        </w:rPr>
        <w:t>年   月   日</w:t>
      </w:r>
    </w:p>
    <w:p>
      <w:pPr>
        <w:snapToGrid w:val="0"/>
        <w:spacing w:line="440" w:lineRule="exact"/>
        <w:ind w:firstLine="480" w:firstLineChars="200"/>
        <w:rPr>
          <w:rFonts w:hint="eastAsia" w:ascii="仿宋" w:hAnsi="仿宋" w:eastAsia="仿宋"/>
          <w:sz w:val="24"/>
          <w:szCs w:val="24"/>
        </w:rPr>
      </w:pPr>
    </w:p>
    <w:p>
      <w:pPr>
        <w:tabs>
          <w:tab w:val="left" w:pos="6300"/>
        </w:tabs>
        <w:snapToGrid w:val="0"/>
        <w:spacing w:line="500" w:lineRule="exact"/>
        <w:ind w:firstLine="570"/>
        <w:rPr>
          <w:rFonts w:hint="eastAsia" w:ascii="仿宋" w:hAnsi="仿宋" w:eastAsia="仿宋"/>
        </w:rPr>
      </w:pPr>
      <w:r>
        <w:rPr>
          <w:rFonts w:ascii="仿宋" w:hAnsi="仿宋" w:eastAsia="仿宋"/>
        </w:rPr>
        <w:br w:type="page"/>
      </w:r>
      <w:r>
        <w:rPr>
          <w:rFonts w:hint="eastAsia" w:ascii="仿宋" w:hAnsi="仿宋" w:eastAsia="仿宋"/>
        </w:rPr>
        <w:t>（六）税务登记证（副本）复印件</w:t>
      </w:r>
    </w:p>
    <w:p>
      <w:pPr>
        <w:tabs>
          <w:tab w:val="left" w:pos="6300"/>
        </w:tabs>
        <w:snapToGrid w:val="0"/>
        <w:spacing w:line="500" w:lineRule="exact"/>
        <w:ind w:firstLine="560"/>
        <w:rPr>
          <w:rFonts w:hint="eastAsia" w:ascii="仿宋" w:hAnsi="仿宋" w:eastAsia="仿宋"/>
        </w:rPr>
      </w:pPr>
      <w:r>
        <w:rPr>
          <w:rFonts w:hint="eastAsia" w:ascii="仿宋" w:hAnsi="仿宋" w:eastAsia="仿宋"/>
        </w:rPr>
        <w:t>（七）缴纳社会保障金的证明材料复印件</w:t>
      </w:r>
    </w:p>
    <w:p>
      <w:pPr>
        <w:tabs>
          <w:tab w:val="left" w:pos="6300"/>
        </w:tabs>
        <w:snapToGrid w:val="0"/>
        <w:spacing w:line="500" w:lineRule="exact"/>
        <w:ind w:firstLine="480" w:firstLineChars="200"/>
        <w:rPr>
          <w:rFonts w:hint="eastAsia" w:ascii="仿宋" w:hAnsi="仿宋" w:eastAsia="仿宋"/>
          <w:sz w:val="24"/>
          <w:szCs w:val="24"/>
        </w:rPr>
      </w:pPr>
      <w:r>
        <w:rPr>
          <w:rFonts w:hint="eastAsia" w:ascii="仿宋" w:hAnsi="仿宋" w:eastAsia="仿宋"/>
          <w:sz w:val="24"/>
          <w:szCs w:val="24"/>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pPr>
        <w:tabs>
          <w:tab w:val="left" w:pos="6300"/>
        </w:tabs>
        <w:snapToGrid w:val="0"/>
        <w:spacing w:line="500" w:lineRule="exact"/>
        <w:ind w:firstLine="480" w:firstLineChars="200"/>
        <w:rPr>
          <w:rFonts w:hint="eastAsia" w:ascii="仿宋" w:hAnsi="仿宋" w:eastAsia="仿宋"/>
          <w:sz w:val="24"/>
          <w:szCs w:val="24"/>
        </w:rPr>
      </w:pPr>
    </w:p>
    <w:p>
      <w:pPr>
        <w:tabs>
          <w:tab w:val="left" w:pos="6300"/>
        </w:tabs>
        <w:snapToGrid w:val="0"/>
        <w:spacing w:line="500" w:lineRule="exact"/>
        <w:ind w:firstLine="480" w:firstLineChars="200"/>
        <w:rPr>
          <w:rFonts w:hint="eastAsia" w:ascii="仿宋" w:hAnsi="仿宋" w:eastAsia="仿宋"/>
          <w:sz w:val="24"/>
          <w:szCs w:val="24"/>
        </w:rPr>
      </w:pPr>
    </w:p>
    <w:p>
      <w:pPr>
        <w:tabs>
          <w:tab w:val="left" w:pos="6300"/>
        </w:tabs>
        <w:snapToGrid w:val="0"/>
        <w:spacing w:line="500" w:lineRule="exact"/>
        <w:ind w:firstLine="480" w:firstLineChars="200"/>
        <w:rPr>
          <w:rFonts w:hint="eastAsia" w:ascii="仿宋" w:hAnsi="仿宋" w:eastAsia="仿宋"/>
          <w:sz w:val="24"/>
          <w:szCs w:val="24"/>
        </w:rPr>
      </w:pPr>
    </w:p>
    <w:p>
      <w:pPr>
        <w:tabs>
          <w:tab w:val="left" w:pos="6300"/>
        </w:tabs>
        <w:snapToGrid w:val="0"/>
        <w:spacing w:line="500" w:lineRule="exact"/>
        <w:ind w:firstLine="570"/>
        <w:rPr>
          <w:rFonts w:hint="eastAsia" w:ascii="仿宋" w:hAnsi="仿宋" w:eastAsia="仿宋"/>
          <w:sz w:val="24"/>
          <w:szCs w:val="24"/>
        </w:rPr>
      </w:pPr>
      <w:r>
        <w:rPr>
          <w:rFonts w:hint="eastAsia" w:ascii="仿宋" w:hAnsi="仿宋" w:eastAsia="仿宋"/>
          <w:sz w:val="24"/>
          <w:szCs w:val="24"/>
        </w:rPr>
        <w:t>说明：投标人营业执照、税务登记证、组织机构代码证或加载统一社会信用代码的三证合一营业执照（副本）复印件为准。</w:t>
      </w:r>
    </w:p>
    <w:p>
      <w:pPr>
        <w:tabs>
          <w:tab w:val="left" w:pos="6300"/>
        </w:tabs>
        <w:snapToGrid w:val="0"/>
        <w:spacing w:line="500" w:lineRule="exact"/>
        <w:ind w:firstLine="570"/>
        <w:rPr>
          <w:rFonts w:hint="eastAsia" w:ascii="仿宋" w:hAnsi="仿宋" w:eastAsia="仿宋"/>
        </w:rPr>
      </w:pPr>
      <w:r>
        <w:rPr>
          <w:rFonts w:ascii="仿宋" w:hAnsi="仿宋" w:eastAsia="仿宋"/>
          <w:sz w:val="24"/>
          <w:szCs w:val="24"/>
        </w:rPr>
        <w:br w:type="page"/>
      </w:r>
      <w:r>
        <w:rPr>
          <w:rFonts w:hint="eastAsia" w:ascii="仿宋" w:hAnsi="仿宋" w:eastAsia="仿宋"/>
        </w:rPr>
        <w:t>（八）特定资格条件证书或证明文件</w:t>
      </w:r>
    </w:p>
    <w:p>
      <w:pPr>
        <w:tabs>
          <w:tab w:val="left" w:pos="6300"/>
        </w:tabs>
        <w:snapToGrid w:val="0"/>
        <w:spacing w:line="500" w:lineRule="exact"/>
        <w:ind w:firstLine="570"/>
        <w:rPr>
          <w:rFonts w:hint="eastAsia" w:ascii="仿宋" w:hAnsi="仿宋" w:eastAsia="仿宋"/>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ind w:firstLine="570"/>
        <w:jc w:val="left"/>
        <w:rPr>
          <w:rFonts w:hint="eastAsia" w:ascii="仿宋" w:hAnsi="仿宋" w:eastAsia="仿宋"/>
          <w:sz w:val="24"/>
        </w:rPr>
      </w:pPr>
    </w:p>
    <w:p>
      <w:pPr>
        <w:tabs>
          <w:tab w:val="left" w:pos="6300"/>
        </w:tabs>
        <w:snapToGrid w:val="0"/>
        <w:spacing w:line="500" w:lineRule="exact"/>
        <w:jc w:val="center"/>
        <w:rPr>
          <w:rFonts w:hint="eastAsia" w:ascii="仿宋" w:hAnsi="仿宋" w:eastAsia="仿宋"/>
        </w:rPr>
      </w:pPr>
      <w:r>
        <w:rPr>
          <w:rFonts w:hint="eastAsia" w:ascii="仿宋" w:hAnsi="仿宋" w:eastAsia="仿宋"/>
        </w:rPr>
        <w:t>（结束）</w:t>
      </w:r>
    </w:p>
    <w:sectPr>
      <w:headerReference r:id="rId13" w:type="default"/>
      <w:footerReference r:id="rId14" w:type="default"/>
      <w:type w:val="nextColumn"/>
      <w:pgSz w:w="11907" w:h="16840"/>
      <w:pgMar w:top="1134" w:right="1191" w:bottom="1134" w:left="1304" w:header="964"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C9F071A-73F7-4920-B545-5C79A89217C6}"/>
  </w:font>
  <w:font w:name="仿宋_GB2312">
    <w:altName w:val="仿宋"/>
    <w:panose1 w:val="02010609030101010101"/>
    <w:charset w:val="86"/>
    <w:family w:val="modern"/>
    <w:pitch w:val="default"/>
    <w:sig w:usb0="00000000" w:usb1="00000000" w:usb2="00000010" w:usb3="00000000" w:csb0="00040000" w:csb1="00000000"/>
    <w:embedRegular r:id="rId2" w:fontKey="{C7B924CF-0607-417B-B2C2-9098B54A130C}"/>
  </w:font>
  <w:font w:name="仿宋">
    <w:panose1 w:val="02010609060101010101"/>
    <w:charset w:val="86"/>
    <w:family w:val="auto"/>
    <w:pitch w:val="default"/>
    <w:sig w:usb0="800002BF" w:usb1="38CF7CFA" w:usb2="00000016" w:usb3="00000000" w:csb0="00040001" w:csb1="00000000"/>
    <w:embedRegular r:id="rId3" w:fontKey="{E628BDE8-E552-47B0-89CB-CC9E5DA52F42}"/>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Unicode MS">
    <w:panose1 w:val="020B0604020202020204"/>
    <w:charset w:val="86"/>
    <w:family w:val="swiss"/>
    <w:pitch w:val="default"/>
    <w:sig w:usb0="FFFFFFFF" w:usb1="E9FFFFFF" w:usb2="0000003F" w:usb3="00000000" w:csb0="603F01FF" w:csb1="FFFF0000"/>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昆仑楷体">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宋体"/>
    <w:panose1 w:val="020B060901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embedRegular r:id="rId4" w:fontKey="{AEA12BF4-940A-476A-8E3F-21041CFCD46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hint="eastAsia"/>
        <w:sz w:val="24"/>
      </w:rPr>
    </w:pPr>
    <w:r>
      <w:rPr>
        <w:sz w:val="24"/>
      </w:rPr>
      <w:fldChar w:fldCharType="begin"/>
    </w:r>
    <w:r>
      <w:rPr>
        <w:rStyle w:val="61"/>
        <w:sz w:val="24"/>
      </w:rPr>
      <w:instrText xml:space="preserve"> PAGE </w:instrText>
    </w:r>
    <w:r>
      <w:rPr>
        <w:sz w:val="24"/>
      </w:rPr>
      <w:fldChar w:fldCharType="separate"/>
    </w:r>
    <w:r>
      <w:rPr>
        <w:rStyle w:val="61"/>
        <w:sz w:val="24"/>
      </w:rPr>
      <w:t>- 2 -</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hint="eastAsia"/>
        <w:sz w:val="24"/>
      </w:rPr>
    </w:pPr>
    <w:r>
      <w:rPr>
        <w:sz w:val="24"/>
      </w:rPr>
      <w:fldChar w:fldCharType="begin"/>
    </w:r>
    <w:r>
      <w:rPr>
        <w:rStyle w:val="61"/>
        <w:sz w:val="24"/>
      </w:rPr>
      <w:instrText xml:space="preserve"> PAGE </w:instrText>
    </w:r>
    <w:r>
      <w:rPr>
        <w:sz w:val="24"/>
      </w:rPr>
      <w:fldChar w:fldCharType="separate"/>
    </w:r>
    <w:r>
      <w:rPr>
        <w:rStyle w:val="61"/>
        <w:sz w:val="24"/>
      </w:rPr>
      <w:t>- 1 -</w:t>
    </w:r>
    <w:r>
      <w:rP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jc w:val="center"/>
    </w:pPr>
    <w:r>
      <w:fldChar w:fldCharType="begin"/>
    </w:r>
    <w:r>
      <w:rPr>
        <w:rStyle w:val="61"/>
      </w:rPr>
      <w:instrText xml:space="preserve"> PAGE </w:instrText>
    </w:r>
    <w:r>
      <w:fldChar w:fldCharType="separate"/>
    </w:r>
    <w:r>
      <w:rPr>
        <w:rStyle w:val="61"/>
      </w:rPr>
      <w:t>- 3 -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4"/>
      </w:rPr>
    </w:pPr>
    <w:r>
      <w:rPr>
        <w:sz w:val="24"/>
      </w:rPr>
      <w:fldChar w:fldCharType="begin"/>
    </w:r>
    <w:r>
      <w:rPr>
        <w:rStyle w:val="61"/>
        <w:sz w:val="24"/>
      </w:rPr>
      <w:instrText xml:space="preserve"> PAGE </w:instrText>
    </w:r>
    <w:r>
      <w:rPr>
        <w:sz w:val="24"/>
      </w:rPr>
      <w:fldChar w:fldCharType="separate"/>
    </w:r>
    <w:r>
      <w:rPr>
        <w:rStyle w:val="61"/>
        <w:sz w:val="24"/>
      </w:rPr>
      <w:t>- 25 -</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4" w:space="1"/>
      </w:pBdr>
      <w:jc w:val="left"/>
      <w:rPr>
        <w:rFonts w:hint="eastAsia" w:ascii="宋体" w:hAnsi="宋体"/>
        <w:szCs w:val="18"/>
      </w:rPr>
    </w:pPr>
    <w:r>
      <w:rPr>
        <w:rFonts w:hint="eastAsia" w:ascii="宋体" w:hAnsi="宋体" w:cs="宋体"/>
        <w:sz w:val="21"/>
        <w:szCs w:val="21"/>
      </w:rPr>
      <w:t>重庆芳园建设工程咨询有限公司</w:t>
    </w:r>
    <w:r>
      <w:rPr>
        <w:rFonts w:hint="eastAsia" w:ascii="宋体" w:hAnsi="宋体"/>
        <w:szCs w:val="18"/>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4" w:space="1"/>
      </w:pBdr>
      <w:jc w:val="both"/>
      <w:rPr>
        <w:rFonts w:hint="eastAsia" w:ascii="方正仿宋_GBK" w:eastAsia="方正仿宋_GBK"/>
        <w:sz w:val="21"/>
        <w:szCs w:val="24"/>
      </w:rPr>
    </w:pPr>
    <w:r>
      <w:rPr>
        <w:rFonts w:hint="eastAsia" w:ascii="方正仿宋_GBK" w:eastAsia="方正仿宋_GBK"/>
        <w:sz w:val="21"/>
        <w:szCs w:val="24"/>
      </w:rPr>
      <w:t>重庆方郡建设工程咨询有限公司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szCs w:val="24"/>
      </w:rPr>
    </w:pPr>
    <w:r>
      <w:rPr>
        <w:rFonts w:hint="eastAsia" w:ascii="方正仿宋_GBK" w:eastAsia="方正仿宋_GBK"/>
        <w:sz w:val="21"/>
        <w:szCs w:val="24"/>
      </w:rPr>
      <w:t>重庆方郡建设工程咨询有限公司                                                     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rPr>
        <w:rFonts w:hint="eastAsia" w:ascii="方正仿宋_GBK" w:eastAsia="方正仿宋_GBK"/>
        <w:sz w:val="21"/>
        <w:szCs w:val="21"/>
      </w:rPr>
    </w:pPr>
    <w:r>
      <w:rPr>
        <w:rFonts w:ascii="方正仿宋_GBK" w:eastAsia="方正仿宋_GBK"/>
        <w:sz w:val="21"/>
        <w:szCs w:val="24"/>
      </w:rPr>
      <w:br w:type="textWrapping"/>
    </w:r>
    <w:r>
      <w:rPr>
        <w:rFonts w:hint="eastAsia" w:ascii="方正仿宋_GBK" w:eastAsia="方正仿宋_GBK"/>
        <w:sz w:val="21"/>
        <w:szCs w:val="24"/>
      </w:rPr>
      <w:t>重庆方郡建设工程咨询有限公司</w:t>
    </w:r>
    <w:r>
      <w:rPr>
        <w:rFonts w:hint="eastAsia" w:ascii="方正仿宋_GBK" w:eastAsia="方正仿宋_GBK"/>
        <w:sz w:val="21"/>
        <w:szCs w:val="21"/>
      </w:rPr>
      <w:t xml:space="preserve">                                                     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firstLine="1050" w:firstLineChars="500"/>
      <w:jc w:val="both"/>
      <w:rPr>
        <w:rFonts w:hint="eastAsia" w:ascii="方正仿宋_GBK" w:eastAsia="方正仿宋_GBK"/>
        <w:sz w:val="21"/>
        <w:szCs w:val="21"/>
      </w:rPr>
    </w:pPr>
    <w:r>
      <w:rPr>
        <w:rFonts w:hint="eastAsia" w:ascii="方正仿宋_GBK" w:eastAsia="方正仿宋_GBK"/>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szCs w:val="24"/>
      </w:rPr>
    </w:pPr>
    <w:r>
      <w:rPr>
        <w:rFonts w:hint="eastAsia" w:ascii="方正仿宋_GBK" w:eastAsia="方正仿宋_GBK"/>
        <w:sz w:val="21"/>
        <w:szCs w:val="24"/>
      </w:rPr>
      <w:t>重庆方郡建设工程咨询有限公司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pStyle w:val="14"/>
      <w:lvlText w:val="%1."/>
      <w:lvlJc w:val="left"/>
      <w:pPr>
        <w:tabs>
          <w:tab w:val="left" w:pos="780"/>
        </w:tabs>
        <w:ind w:left="780" w:hanging="360"/>
      </w:pPr>
    </w:lvl>
  </w:abstractNum>
  <w:abstractNum w:abstractNumId="1">
    <w:nsid w:val="00000005"/>
    <w:multiLevelType w:val="multilevel"/>
    <w:tmpl w:val="00000005"/>
    <w:lvl w:ilvl="0" w:tentative="0">
      <w:start w:val="1"/>
      <w:numFmt w:val="bullet"/>
      <w:pStyle w:val="202"/>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2">
    <w:nsid w:val="00000006"/>
    <w:multiLevelType w:val="singleLevel"/>
    <w:tmpl w:val="00000006"/>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07"/>
    <w:multiLevelType w:val="multilevel"/>
    <w:tmpl w:val="00000007"/>
    <w:lvl w:ilvl="0" w:tentative="0">
      <w:start w:val="1"/>
      <w:numFmt w:val="bullet"/>
      <w:pStyle w:val="144"/>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8"/>
    <w:multiLevelType w:val="multilevel"/>
    <w:tmpl w:val="00000008"/>
    <w:lvl w:ilvl="0" w:tentative="0">
      <w:start w:val="1"/>
      <w:numFmt w:val="chineseCountingThousand"/>
      <w:pStyle w:val="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28"/>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A"/>
    <w:multiLevelType w:val="multilevel"/>
    <w:tmpl w:val="0000000A"/>
    <w:lvl w:ilvl="0" w:tentative="0">
      <w:start w:val="8"/>
      <w:numFmt w:val="decimal"/>
      <w:pStyle w:val="168"/>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208"/>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12"/>
    <w:multiLevelType w:val="singleLevel"/>
    <w:tmpl w:val="00000012"/>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8">
    <w:nsid w:val="00000013"/>
    <w:multiLevelType w:val="multilevel"/>
    <w:tmpl w:val="00000013"/>
    <w:lvl w:ilvl="0" w:tentative="0">
      <w:start w:val="1"/>
      <w:numFmt w:val="bullet"/>
      <w:pStyle w:val="101"/>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5"/>
    <w:multiLevelType w:val="multilevel"/>
    <w:tmpl w:val="00000015"/>
    <w:lvl w:ilvl="0" w:tentative="0">
      <w:start w:val="1"/>
      <w:numFmt w:val="decimal"/>
      <w:pStyle w:val="115"/>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6"/>
    <w:multiLevelType w:val="singleLevel"/>
    <w:tmpl w:val="00000016"/>
    <w:lvl w:ilvl="0" w:tentative="0">
      <w:start w:val="1"/>
      <w:numFmt w:val="bullet"/>
      <w:pStyle w:val="155"/>
      <w:lvlText w:val=""/>
      <w:lvlJc w:val="left"/>
      <w:pPr>
        <w:tabs>
          <w:tab w:val="left" w:pos="360"/>
        </w:tabs>
        <w:ind w:left="360" w:hanging="360"/>
      </w:pPr>
      <w:rPr>
        <w:rFonts w:hint="default" w:ascii="Wingdings" w:hAnsi="Wingdings"/>
      </w:rPr>
    </w:lvl>
  </w:abstractNum>
  <w:abstractNum w:abstractNumId="11">
    <w:nsid w:val="00000017"/>
    <w:multiLevelType w:val="singleLevel"/>
    <w:tmpl w:val="00000017"/>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12">
    <w:nsid w:val="00000019"/>
    <w:multiLevelType w:val="singleLevel"/>
    <w:tmpl w:val="00000019"/>
    <w:lvl w:ilvl="0" w:tentative="0">
      <w:start w:val="1"/>
      <w:numFmt w:val="decimal"/>
      <w:pStyle w:val="133"/>
      <w:lvlText w:val="%1)"/>
      <w:lvlJc w:val="left"/>
      <w:pPr>
        <w:tabs>
          <w:tab w:val="left" w:pos="425"/>
        </w:tabs>
        <w:ind w:left="425" w:hanging="425"/>
      </w:pPr>
      <w:rPr>
        <w:rFonts w:hint="eastAsia"/>
      </w:rPr>
    </w:lvl>
  </w:abstractNum>
  <w:abstractNum w:abstractNumId="13">
    <w:nsid w:val="0000001A"/>
    <w:multiLevelType w:val="multilevel"/>
    <w:tmpl w:val="0000001A"/>
    <w:lvl w:ilvl="0" w:tentative="0">
      <w:start w:val="1"/>
      <w:numFmt w:val="decimal"/>
      <w:pStyle w:val="201"/>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D"/>
    <w:multiLevelType w:val="multilevel"/>
    <w:tmpl w:val="0000001D"/>
    <w:lvl w:ilvl="0" w:tentative="0">
      <w:start w:val="1"/>
      <w:numFmt w:val="chineseCountingThousand"/>
      <w:pStyle w:val="117"/>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F4A2F92"/>
    <w:multiLevelType w:val="singleLevel"/>
    <w:tmpl w:val="2F4A2F92"/>
    <w:lvl w:ilvl="0" w:tentative="0">
      <w:start w:val="1"/>
      <w:numFmt w:val="decimal"/>
      <w:suff w:val="nothing"/>
      <w:lvlText w:val="%1、"/>
      <w:lvlJc w:val="left"/>
    </w:lvl>
  </w:abstractNum>
  <w:abstractNum w:abstractNumId="16">
    <w:nsid w:val="5D481797"/>
    <w:multiLevelType w:val="singleLevel"/>
    <w:tmpl w:val="5D481797"/>
    <w:lvl w:ilvl="0" w:tentative="0">
      <w:start w:val="1"/>
      <w:numFmt w:val="decimal"/>
      <w:suff w:val="nothing"/>
      <w:lvlText w:val="%1、"/>
      <w:lvlJc w:val="left"/>
    </w:lvl>
  </w:abstractNum>
  <w:abstractNum w:abstractNumId="17">
    <w:nsid w:val="7F5C01DB"/>
    <w:multiLevelType w:val="singleLevel"/>
    <w:tmpl w:val="7F5C01DB"/>
    <w:lvl w:ilvl="0" w:tentative="0">
      <w:start w:val="3"/>
      <w:numFmt w:val="chineseCounting"/>
      <w:suff w:val="nothing"/>
      <w:lvlText w:val="%1、"/>
      <w:lvlJc w:val="left"/>
      <w:rPr>
        <w:rFonts w:hint="eastAsia"/>
      </w:rPr>
    </w:lvl>
  </w:abstractNum>
  <w:num w:numId="1">
    <w:abstractNumId w:val="4"/>
  </w:num>
  <w:num w:numId="2">
    <w:abstractNumId w:val="0"/>
  </w:num>
  <w:num w:numId="3">
    <w:abstractNumId w:val="2"/>
  </w:num>
  <w:num w:numId="4">
    <w:abstractNumId w:val="11"/>
  </w:num>
  <w:num w:numId="5">
    <w:abstractNumId w:val="7"/>
  </w:num>
  <w:num w:numId="6">
    <w:abstractNumId w:val="8"/>
  </w:num>
  <w:num w:numId="7">
    <w:abstractNumId w:val="9"/>
  </w:num>
  <w:num w:numId="8">
    <w:abstractNumId w:val="14"/>
  </w:num>
  <w:num w:numId="9">
    <w:abstractNumId w:val="5"/>
  </w:num>
  <w:num w:numId="10">
    <w:abstractNumId w:val="12"/>
  </w:num>
  <w:num w:numId="11">
    <w:abstractNumId w:val="3"/>
  </w:num>
  <w:num w:numId="12">
    <w:abstractNumId w:val="10"/>
  </w:num>
  <w:num w:numId="13">
    <w:abstractNumId w:val="6"/>
  </w:num>
  <w:num w:numId="14">
    <w:abstractNumId w:val="13"/>
  </w:num>
  <w:num w:numId="15">
    <w:abstractNumId w:val="1"/>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0"/>
  <w:hyphenationZone w:val="36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C3"/>
    <w:rsid w:val="00004E02"/>
    <w:rsid w:val="000060BC"/>
    <w:rsid w:val="000072F0"/>
    <w:rsid w:val="00010D1E"/>
    <w:rsid w:val="00011284"/>
    <w:rsid w:val="00011AF1"/>
    <w:rsid w:val="00016A66"/>
    <w:rsid w:val="000174A7"/>
    <w:rsid w:val="00020335"/>
    <w:rsid w:val="00021946"/>
    <w:rsid w:val="00025C8E"/>
    <w:rsid w:val="000266A1"/>
    <w:rsid w:val="0003075E"/>
    <w:rsid w:val="0003282A"/>
    <w:rsid w:val="00034A67"/>
    <w:rsid w:val="0003767C"/>
    <w:rsid w:val="000376BA"/>
    <w:rsid w:val="00042250"/>
    <w:rsid w:val="00043311"/>
    <w:rsid w:val="00053630"/>
    <w:rsid w:val="00054BCC"/>
    <w:rsid w:val="00056058"/>
    <w:rsid w:val="00056C64"/>
    <w:rsid w:val="00057565"/>
    <w:rsid w:val="00060807"/>
    <w:rsid w:val="00064EA7"/>
    <w:rsid w:val="0006572E"/>
    <w:rsid w:val="00075520"/>
    <w:rsid w:val="00083911"/>
    <w:rsid w:val="000946BD"/>
    <w:rsid w:val="00094D91"/>
    <w:rsid w:val="00095331"/>
    <w:rsid w:val="000A3134"/>
    <w:rsid w:val="000A4082"/>
    <w:rsid w:val="000A5589"/>
    <w:rsid w:val="000B2716"/>
    <w:rsid w:val="000B4A43"/>
    <w:rsid w:val="000B7999"/>
    <w:rsid w:val="000C06D1"/>
    <w:rsid w:val="000C2017"/>
    <w:rsid w:val="000C2306"/>
    <w:rsid w:val="000C2606"/>
    <w:rsid w:val="000C4016"/>
    <w:rsid w:val="000C47BC"/>
    <w:rsid w:val="000D568F"/>
    <w:rsid w:val="000D66BE"/>
    <w:rsid w:val="000D6E98"/>
    <w:rsid w:val="000E14D0"/>
    <w:rsid w:val="000E1B02"/>
    <w:rsid w:val="000E32C9"/>
    <w:rsid w:val="000E43DC"/>
    <w:rsid w:val="000E6331"/>
    <w:rsid w:val="000E7B09"/>
    <w:rsid w:val="000F16AA"/>
    <w:rsid w:val="000F176A"/>
    <w:rsid w:val="000F30CC"/>
    <w:rsid w:val="000F3783"/>
    <w:rsid w:val="000F391C"/>
    <w:rsid w:val="000F482B"/>
    <w:rsid w:val="00103EEE"/>
    <w:rsid w:val="00104DF1"/>
    <w:rsid w:val="0010618E"/>
    <w:rsid w:val="001103D7"/>
    <w:rsid w:val="00110AA3"/>
    <w:rsid w:val="00111819"/>
    <w:rsid w:val="0011194D"/>
    <w:rsid w:val="00112522"/>
    <w:rsid w:val="001125BF"/>
    <w:rsid w:val="00113C81"/>
    <w:rsid w:val="001157D3"/>
    <w:rsid w:val="00117860"/>
    <w:rsid w:val="00120E34"/>
    <w:rsid w:val="0012297F"/>
    <w:rsid w:val="00122FAE"/>
    <w:rsid w:val="001256A8"/>
    <w:rsid w:val="001273F2"/>
    <w:rsid w:val="00130625"/>
    <w:rsid w:val="001329C4"/>
    <w:rsid w:val="00135250"/>
    <w:rsid w:val="001402E6"/>
    <w:rsid w:val="0014045A"/>
    <w:rsid w:val="0014074A"/>
    <w:rsid w:val="001407F6"/>
    <w:rsid w:val="0014144C"/>
    <w:rsid w:val="00152607"/>
    <w:rsid w:val="0015271E"/>
    <w:rsid w:val="001528E5"/>
    <w:rsid w:val="00156A8B"/>
    <w:rsid w:val="00157613"/>
    <w:rsid w:val="00160D35"/>
    <w:rsid w:val="00161645"/>
    <w:rsid w:val="00165D21"/>
    <w:rsid w:val="00166BAD"/>
    <w:rsid w:val="00174C60"/>
    <w:rsid w:val="001767A8"/>
    <w:rsid w:val="00176A44"/>
    <w:rsid w:val="00180ABA"/>
    <w:rsid w:val="0018194D"/>
    <w:rsid w:val="00181D44"/>
    <w:rsid w:val="00184BCE"/>
    <w:rsid w:val="001864B0"/>
    <w:rsid w:val="00186A28"/>
    <w:rsid w:val="001879E7"/>
    <w:rsid w:val="00187F68"/>
    <w:rsid w:val="00191EDB"/>
    <w:rsid w:val="00195BAD"/>
    <w:rsid w:val="001961B5"/>
    <w:rsid w:val="00197B4A"/>
    <w:rsid w:val="001A033E"/>
    <w:rsid w:val="001A0940"/>
    <w:rsid w:val="001A4064"/>
    <w:rsid w:val="001A53D7"/>
    <w:rsid w:val="001B4A20"/>
    <w:rsid w:val="001B6F0C"/>
    <w:rsid w:val="001C08B0"/>
    <w:rsid w:val="001C2080"/>
    <w:rsid w:val="001C5088"/>
    <w:rsid w:val="001C6A1E"/>
    <w:rsid w:val="001C6A2B"/>
    <w:rsid w:val="001C7AB7"/>
    <w:rsid w:val="001D1D0F"/>
    <w:rsid w:val="001D3224"/>
    <w:rsid w:val="001D3B7E"/>
    <w:rsid w:val="001E0073"/>
    <w:rsid w:val="001E0D2F"/>
    <w:rsid w:val="001E2993"/>
    <w:rsid w:val="001E4F32"/>
    <w:rsid w:val="001E592C"/>
    <w:rsid w:val="001E63DF"/>
    <w:rsid w:val="001E7195"/>
    <w:rsid w:val="001F07F7"/>
    <w:rsid w:val="001F10A4"/>
    <w:rsid w:val="001F1B54"/>
    <w:rsid w:val="001F2CAB"/>
    <w:rsid w:val="001F381D"/>
    <w:rsid w:val="001F5A8A"/>
    <w:rsid w:val="001F6E3F"/>
    <w:rsid w:val="001F707E"/>
    <w:rsid w:val="002048EC"/>
    <w:rsid w:val="002101B3"/>
    <w:rsid w:val="00214802"/>
    <w:rsid w:val="0021649F"/>
    <w:rsid w:val="00217C0F"/>
    <w:rsid w:val="00220225"/>
    <w:rsid w:val="00223B03"/>
    <w:rsid w:val="0022640C"/>
    <w:rsid w:val="0022711C"/>
    <w:rsid w:val="00227651"/>
    <w:rsid w:val="00230CE6"/>
    <w:rsid w:val="00231020"/>
    <w:rsid w:val="00233AFE"/>
    <w:rsid w:val="00235D5F"/>
    <w:rsid w:val="00236E09"/>
    <w:rsid w:val="00237468"/>
    <w:rsid w:val="00242AF9"/>
    <w:rsid w:val="002435D0"/>
    <w:rsid w:val="00243F8F"/>
    <w:rsid w:val="00244203"/>
    <w:rsid w:val="00244300"/>
    <w:rsid w:val="00244669"/>
    <w:rsid w:val="002474A9"/>
    <w:rsid w:val="00252999"/>
    <w:rsid w:val="00252E9D"/>
    <w:rsid w:val="0025308A"/>
    <w:rsid w:val="0025601D"/>
    <w:rsid w:val="00257257"/>
    <w:rsid w:val="00257290"/>
    <w:rsid w:val="00257FF1"/>
    <w:rsid w:val="002604B9"/>
    <w:rsid w:val="00261D69"/>
    <w:rsid w:val="00262267"/>
    <w:rsid w:val="00262CB5"/>
    <w:rsid w:val="002638E5"/>
    <w:rsid w:val="00263EC9"/>
    <w:rsid w:val="00263F00"/>
    <w:rsid w:val="00264A68"/>
    <w:rsid w:val="00265244"/>
    <w:rsid w:val="00266BCA"/>
    <w:rsid w:val="002706DC"/>
    <w:rsid w:val="002708E8"/>
    <w:rsid w:val="00271CE9"/>
    <w:rsid w:val="002725BB"/>
    <w:rsid w:val="00275F04"/>
    <w:rsid w:val="0028066C"/>
    <w:rsid w:val="002824B2"/>
    <w:rsid w:val="00282E57"/>
    <w:rsid w:val="00282F6A"/>
    <w:rsid w:val="002833CF"/>
    <w:rsid w:val="00283DEC"/>
    <w:rsid w:val="00284065"/>
    <w:rsid w:val="00285149"/>
    <w:rsid w:val="0029022C"/>
    <w:rsid w:val="00293471"/>
    <w:rsid w:val="002A008C"/>
    <w:rsid w:val="002A0576"/>
    <w:rsid w:val="002A17E0"/>
    <w:rsid w:val="002A2544"/>
    <w:rsid w:val="002A7557"/>
    <w:rsid w:val="002B1655"/>
    <w:rsid w:val="002B26F0"/>
    <w:rsid w:val="002B31D4"/>
    <w:rsid w:val="002C07DE"/>
    <w:rsid w:val="002C5C0E"/>
    <w:rsid w:val="002C614F"/>
    <w:rsid w:val="002C6836"/>
    <w:rsid w:val="002C7F2B"/>
    <w:rsid w:val="002D2F75"/>
    <w:rsid w:val="002D36E9"/>
    <w:rsid w:val="002D738A"/>
    <w:rsid w:val="002E0FB6"/>
    <w:rsid w:val="002E1597"/>
    <w:rsid w:val="002E2816"/>
    <w:rsid w:val="002E41DF"/>
    <w:rsid w:val="002E6DFA"/>
    <w:rsid w:val="002F1086"/>
    <w:rsid w:val="002F1557"/>
    <w:rsid w:val="002F1C2C"/>
    <w:rsid w:val="002F3EB6"/>
    <w:rsid w:val="002F438F"/>
    <w:rsid w:val="002F5EEF"/>
    <w:rsid w:val="003003CA"/>
    <w:rsid w:val="003017D2"/>
    <w:rsid w:val="00301FF8"/>
    <w:rsid w:val="00304201"/>
    <w:rsid w:val="00304D5F"/>
    <w:rsid w:val="003055FB"/>
    <w:rsid w:val="00305F51"/>
    <w:rsid w:val="00307452"/>
    <w:rsid w:val="003075D9"/>
    <w:rsid w:val="003077A4"/>
    <w:rsid w:val="003078AE"/>
    <w:rsid w:val="003144DF"/>
    <w:rsid w:val="00316C9A"/>
    <w:rsid w:val="00317BBE"/>
    <w:rsid w:val="00321104"/>
    <w:rsid w:val="003220FF"/>
    <w:rsid w:val="003231A8"/>
    <w:rsid w:val="0032568F"/>
    <w:rsid w:val="00327355"/>
    <w:rsid w:val="00331597"/>
    <w:rsid w:val="003317B2"/>
    <w:rsid w:val="003340BB"/>
    <w:rsid w:val="00336057"/>
    <w:rsid w:val="003431D8"/>
    <w:rsid w:val="00344FF3"/>
    <w:rsid w:val="00346EB0"/>
    <w:rsid w:val="00347692"/>
    <w:rsid w:val="00347CE1"/>
    <w:rsid w:val="00350F6A"/>
    <w:rsid w:val="0035301E"/>
    <w:rsid w:val="00356063"/>
    <w:rsid w:val="00356F96"/>
    <w:rsid w:val="00357469"/>
    <w:rsid w:val="00364E4C"/>
    <w:rsid w:val="003657B2"/>
    <w:rsid w:val="00367175"/>
    <w:rsid w:val="00367ECD"/>
    <w:rsid w:val="00370BF4"/>
    <w:rsid w:val="0037169E"/>
    <w:rsid w:val="00371852"/>
    <w:rsid w:val="00372C80"/>
    <w:rsid w:val="00372DC7"/>
    <w:rsid w:val="003754CD"/>
    <w:rsid w:val="00375B6A"/>
    <w:rsid w:val="00375B89"/>
    <w:rsid w:val="00380667"/>
    <w:rsid w:val="00383C9F"/>
    <w:rsid w:val="003846F7"/>
    <w:rsid w:val="00385701"/>
    <w:rsid w:val="00386295"/>
    <w:rsid w:val="0038635F"/>
    <w:rsid w:val="003902F6"/>
    <w:rsid w:val="003909CD"/>
    <w:rsid w:val="00392A5E"/>
    <w:rsid w:val="003968A8"/>
    <w:rsid w:val="003A01DC"/>
    <w:rsid w:val="003A2EA1"/>
    <w:rsid w:val="003A329C"/>
    <w:rsid w:val="003A4636"/>
    <w:rsid w:val="003A6A32"/>
    <w:rsid w:val="003B2994"/>
    <w:rsid w:val="003B35D0"/>
    <w:rsid w:val="003B5363"/>
    <w:rsid w:val="003B7185"/>
    <w:rsid w:val="003C21E7"/>
    <w:rsid w:val="003C3995"/>
    <w:rsid w:val="003C480E"/>
    <w:rsid w:val="003D0992"/>
    <w:rsid w:val="003D1857"/>
    <w:rsid w:val="003D1F45"/>
    <w:rsid w:val="003D6683"/>
    <w:rsid w:val="003D6FF0"/>
    <w:rsid w:val="003E0C71"/>
    <w:rsid w:val="003E3236"/>
    <w:rsid w:val="003E3583"/>
    <w:rsid w:val="003E39B8"/>
    <w:rsid w:val="003E554C"/>
    <w:rsid w:val="003E5E95"/>
    <w:rsid w:val="003E699F"/>
    <w:rsid w:val="003E70FB"/>
    <w:rsid w:val="003F2CFF"/>
    <w:rsid w:val="003F5BC7"/>
    <w:rsid w:val="003F74B4"/>
    <w:rsid w:val="0040154D"/>
    <w:rsid w:val="00403ACA"/>
    <w:rsid w:val="004045AE"/>
    <w:rsid w:val="00404747"/>
    <w:rsid w:val="00406F3B"/>
    <w:rsid w:val="0040799A"/>
    <w:rsid w:val="0041006C"/>
    <w:rsid w:val="00410D92"/>
    <w:rsid w:val="00411C41"/>
    <w:rsid w:val="004157DD"/>
    <w:rsid w:val="00415899"/>
    <w:rsid w:val="00420FC9"/>
    <w:rsid w:val="00421FE4"/>
    <w:rsid w:val="00422860"/>
    <w:rsid w:val="00422923"/>
    <w:rsid w:val="004243CC"/>
    <w:rsid w:val="00424D2A"/>
    <w:rsid w:val="00424DE9"/>
    <w:rsid w:val="00425990"/>
    <w:rsid w:val="00425B08"/>
    <w:rsid w:val="0042774A"/>
    <w:rsid w:val="00430025"/>
    <w:rsid w:val="0043068C"/>
    <w:rsid w:val="00431AD5"/>
    <w:rsid w:val="004334E0"/>
    <w:rsid w:val="00436C86"/>
    <w:rsid w:val="00442157"/>
    <w:rsid w:val="00442474"/>
    <w:rsid w:val="0044361E"/>
    <w:rsid w:val="00443757"/>
    <w:rsid w:val="004460BA"/>
    <w:rsid w:val="00446B28"/>
    <w:rsid w:val="0045181E"/>
    <w:rsid w:val="00453E55"/>
    <w:rsid w:val="00454511"/>
    <w:rsid w:val="004557DB"/>
    <w:rsid w:val="004558F5"/>
    <w:rsid w:val="0045590E"/>
    <w:rsid w:val="004559B1"/>
    <w:rsid w:val="00462A3C"/>
    <w:rsid w:val="00462D63"/>
    <w:rsid w:val="00466D5A"/>
    <w:rsid w:val="00475385"/>
    <w:rsid w:val="0047562B"/>
    <w:rsid w:val="00475B14"/>
    <w:rsid w:val="0048153E"/>
    <w:rsid w:val="0048396B"/>
    <w:rsid w:val="0048474B"/>
    <w:rsid w:val="00485174"/>
    <w:rsid w:val="00486EC6"/>
    <w:rsid w:val="00487CDA"/>
    <w:rsid w:val="004914D7"/>
    <w:rsid w:val="004915E3"/>
    <w:rsid w:val="00491AED"/>
    <w:rsid w:val="00493BE7"/>
    <w:rsid w:val="004970C3"/>
    <w:rsid w:val="004978F0"/>
    <w:rsid w:val="004A0052"/>
    <w:rsid w:val="004A2306"/>
    <w:rsid w:val="004A263F"/>
    <w:rsid w:val="004A433D"/>
    <w:rsid w:val="004A5BBC"/>
    <w:rsid w:val="004B1497"/>
    <w:rsid w:val="004B159F"/>
    <w:rsid w:val="004B2831"/>
    <w:rsid w:val="004B6CA6"/>
    <w:rsid w:val="004B7FE0"/>
    <w:rsid w:val="004C1FC5"/>
    <w:rsid w:val="004C2A6E"/>
    <w:rsid w:val="004C529B"/>
    <w:rsid w:val="004D009E"/>
    <w:rsid w:val="004D32AF"/>
    <w:rsid w:val="004E0174"/>
    <w:rsid w:val="004E0781"/>
    <w:rsid w:val="004E1CAC"/>
    <w:rsid w:val="004E257E"/>
    <w:rsid w:val="004F2721"/>
    <w:rsid w:val="004F2BA7"/>
    <w:rsid w:val="00500A35"/>
    <w:rsid w:val="00500E9B"/>
    <w:rsid w:val="005016D9"/>
    <w:rsid w:val="00501886"/>
    <w:rsid w:val="0050253D"/>
    <w:rsid w:val="00502629"/>
    <w:rsid w:val="00503149"/>
    <w:rsid w:val="005050A1"/>
    <w:rsid w:val="00506995"/>
    <w:rsid w:val="00507CD4"/>
    <w:rsid w:val="005102E2"/>
    <w:rsid w:val="00512C2F"/>
    <w:rsid w:val="00513792"/>
    <w:rsid w:val="00513CBD"/>
    <w:rsid w:val="00515415"/>
    <w:rsid w:val="0052215B"/>
    <w:rsid w:val="00522FA5"/>
    <w:rsid w:val="00525E4A"/>
    <w:rsid w:val="00526C0A"/>
    <w:rsid w:val="005310E4"/>
    <w:rsid w:val="0053144A"/>
    <w:rsid w:val="005316F9"/>
    <w:rsid w:val="0053343F"/>
    <w:rsid w:val="00533F51"/>
    <w:rsid w:val="00536251"/>
    <w:rsid w:val="0053716F"/>
    <w:rsid w:val="005375CE"/>
    <w:rsid w:val="005378DE"/>
    <w:rsid w:val="00537C42"/>
    <w:rsid w:val="00541231"/>
    <w:rsid w:val="00541F2E"/>
    <w:rsid w:val="00542436"/>
    <w:rsid w:val="00546C36"/>
    <w:rsid w:val="00547735"/>
    <w:rsid w:val="0055311C"/>
    <w:rsid w:val="005615DE"/>
    <w:rsid w:val="005645D3"/>
    <w:rsid w:val="005663BA"/>
    <w:rsid w:val="00566CBB"/>
    <w:rsid w:val="00566CFF"/>
    <w:rsid w:val="00573C63"/>
    <w:rsid w:val="00576723"/>
    <w:rsid w:val="00583A49"/>
    <w:rsid w:val="00583D71"/>
    <w:rsid w:val="00583F3D"/>
    <w:rsid w:val="0058581B"/>
    <w:rsid w:val="00587496"/>
    <w:rsid w:val="005877C4"/>
    <w:rsid w:val="005943B0"/>
    <w:rsid w:val="005963E8"/>
    <w:rsid w:val="005A18A4"/>
    <w:rsid w:val="005A19DA"/>
    <w:rsid w:val="005A22FC"/>
    <w:rsid w:val="005A4766"/>
    <w:rsid w:val="005A63F1"/>
    <w:rsid w:val="005A6846"/>
    <w:rsid w:val="005A7181"/>
    <w:rsid w:val="005B1105"/>
    <w:rsid w:val="005B1829"/>
    <w:rsid w:val="005B5D00"/>
    <w:rsid w:val="005C00AC"/>
    <w:rsid w:val="005C4016"/>
    <w:rsid w:val="005C4345"/>
    <w:rsid w:val="005C466D"/>
    <w:rsid w:val="005C6677"/>
    <w:rsid w:val="005C789B"/>
    <w:rsid w:val="005D15E5"/>
    <w:rsid w:val="005D2F52"/>
    <w:rsid w:val="005D340F"/>
    <w:rsid w:val="005D4E6B"/>
    <w:rsid w:val="005E117E"/>
    <w:rsid w:val="005E12B4"/>
    <w:rsid w:val="005E7B12"/>
    <w:rsid w:val="005E7BCC"/>
    <w:rsid w:val="005F5262"/>
    <w:rsid w:val="005F65A7"/>
    <w:rsid w:val="00600DF2"/>
    <w:rsid w:val="00601283"/>
    <w:rsid w:val="006016E0"/>
    <w:rsid w:val="00602428"/>
    <w:rsid w:val="0060469C"/>
    <w:rsid w:val="006053DE"/>
    <w:rsid w:val="006056D8"/>
    <w:rsid w:val="00606612"/>
    <w:rsid w:val="006069DE"/>
    <w:rsid w:val="0061481E"/>
    <w:rsid w:val="00616EC6"/>
    <w:rsid w:val="00630F73"/>
    <w:rsid w:val="006317B1"/>
    <w:rsid w:val="00633632"/>
    <w:rsid w:val="006341BD"/>
    <w:rsid w:val="006347BE"/>
    <w:rsid w:val="00636C1F"/>
    <w:rsid w:val="00640BEA"/>
    <w:rsid w:val="00641FD5"/>
    <w:rsid w:val="0064263E"/>
    <w:rsid w:val="0064330C"/>
    <w:rsid w:val="00644D0F"/>
    <w:rsid w:val="006452D5"/>
    <w:rsid w:val="006456C7"/>
    <w:rsid w:val="00653FC4"/>
    <w:rsid w:val="00655645"/>
    <w:rsid w:val="006558D7"/>
    <w:rsid w:val="00655CB3"/>
    <w:rsid w:val="00661540"/>
    <w:rsid w:val="00662357"/>
    <w:rsid w:val="00664D6E"/>
    <w:rsid w:val="006661A4"/>
    <w:rsid w:val="0066764A"/>
    <w:rsid w:val="00670896"/>
    <w:rsid w:val="006712A2"/>
    <w:rsid w:val="006712F1"/>
    <w:rsid w:val="00673ED1"/>
    <w:rsid w:val="006741D0"/>
    <w:rsid w:val="006752A0"/>
    <w:rsid w:val="00675735"/>
    <w:rsid w:val="00675E52"/>
    <w:rsid w:val="006767F6"/>
    <w:rsid w:val="006800A2"/>
    <w:rsid w:val="00680CC4"/>
    <w:rsid w:val="00680EEC"/>
    <w:rsid w:val="0068128E"/>
    <w:rsid w:val="00683021"/>
    <w:rsid w:val="006830A1"/>
    <w:rsid w:val="0068367F"/>
    <w:rsid w:val="00683DDF"/>
    <w:rsid w:val="00687999"/>
    <w:rsid w:val="00691BBB"/>
    <w:rsid w:val="00692295"/>
    <w:rsid w:val="006931D7"/>
    <w:rsid w:val="00693D59"/>
    <w:rsid w:val="00696EEA"/>
    <w:rsid w:val="00697D56"/>
    <w:rsid w:val="006A0741"/>
    <w:rsid w:val="006A0B45"/>
    <w:rsid w:val="006A3DC1"/>
    <w:rsid w:val="006A54FE"/>
    <w:rsid w:val="006A5644"/>
    <w:rsid w:val="006A5946"/>
    <w:rsid w:val="006A71EB"/>
    <w:rsid w:val="006B2085"/>
    <w:rsid w:val="006B2F44"/>
    <w:rsid w:val="006B4021"/>
    <w:rsid w:val="006C2955"/>
    <w:rsid w:val="006C32BC"/>
    <w:rsid w:val="006C4663"/>
    <w:rsid w:val="006C4D2A"/>
    <w:rsid w:val="006C7755"/>
    <w:rsid w:val="006D3608"/>
    <w:rsid w:val="006D3828"/>
    <w:rsid w:val="006D5FAB"/>
    <w:rsid w:val="006D7125"/>
    <w:rsid w:val="006E016E"/>
    <w:rsid w:val="006E1550"/>
    <w:rsid w:val="006E2F2B"/>
    <w:rsid w:val="006F1A60"/>
    <w:rsid w:val="006F34CA"/>
    <w:rsid w:val="006F7B0F"/>
    <w:rsid w:val="00700C1A"/>
    <w:rsid w:val="00701E8B"/>
    <w:rsid w:val="00703005"/>
    <w:rsid w:val="00705A0B"/>
    <w:rsid w:val="00706CF8"/>
    <w:rsid w:val="007070E3"/>
    <w:rsid w:val="007101F0"/>
    <w:rsid w:val="007122D3"/>
    <w:rsid w:val="00714D11"/>
    <w:rsid w:val="00717D8B"/>
    <w:rsid w:val="00723332"/>
    <w:rsid w:val="00726CCC"/>
    <w:rsid w:val="00727554"/>
    <w:rsid w:val="00730019"/>
    <w:rsid w:val="00730AB1"/>
    <w:rsid w:val="00731E6E"/>
    <w:rsid w:val="00733B6B"/>
    <w:rsid w:val="00735BA5"/>
    <w:rsid w:val="00742F59"/>
    <w:rsid w:val="007440E6"/>
    <w:rsid w:val="007445DB"/>
    <w:rsid w:val="00751470"/>
    <w:rsid w:val="00751C5E"/>
    <w:rsid w:val="00754851"/>
    <w:rsid w:val="007570BB"/>
    <w:rsid w:val="00757139"/>
    <w:rsid w:val="007613AA"/>
    <w:rsid w:val="007615A8"/>
    <w:rsid w:val="007619F1"/>
    <w:rsid w:val="00761E7F"/>
    <w:rsid w:val="007629D1"/>
    <w:rsid w:val="00762B16"/>
    <w:rsid w:val="007641FC"/>
    <w:rsid w:val="00764392"/>
    <w:rsid w:val="00765EEB"/>
    <w:rsid w:val="0077586D"/>
    <w:rsid w:val="00776FD3"/>
    <w:rsid w:val="007800CF"/>
    <w:rsid w:val="00781E90"/>
    <w:rsid w:val="007843B7"/>
    <w:rsid w:val="007849C7"/>
    <w:rsid w:val="007859FF"/>
    <w:rsid w:val="00790422"/>
    <w:rsid w:val="0079150F"/>
    <w:rsid w:val="00792174"/>
    <w:rsid w:val="00793F0B"/>
    <w:rsid w:val="00794CC2"/>
    <w:rsid w:val="007953B5"/>
    <w:rsid w:val="007977A7"/>
    <w:rsid w:val="007A0658"/>
    <w:rsid w:val="007A1588"/>
    <w:rsid w:val="007A1958"/>
    <w:rsid w:val="007A1D16"/>
    <w:rsid w:val="007A33B2"/>
    <w:rsid w:val="007A4D8F"/>
    <w:rsid w:val="007B05DB"/>
    <w:rsid w:val="007B08DC"/>
    <w:rsid w:val="007B12C5"/>
    <w:rsid w:val="007B346A"/>
    <w:rsid w:val="007B3549"/>
    <w:rsid w:val="007B6CDF"/>
    <w:rsid w:val="007C118E"/>
    <w:rsid w:val="007C2D50"/>
    <w:rsid w:val="007C450C"/>
    <w:rsid w:val="007C6C72"/>
    <w:rsid w:val="007C7FA8"/>
    <w:rsid w:val="007D1C86"/>
    <w:rsid w:val="007D3361"/>
    <w:rsid w:val="007D3431"/>
    <w:rsid w:val="007D5328"/>
    <w:rsid w:val="007E0353"/>
    <w:rsid w:val="007E0FF7"/>
    <w:rsid w:val="007E2391"/>
    <w:rsid w:val="007E2DD9"/>
    <w:rsid w:val="007E4B90"/>
    <w:rsid w:val="007E7604"/>
    <w:rsid w:val="007F13DC"/>
    <w:rsid w:val="007F229E"/>
    <w:rsid w:val="007F396F"/>
    <w:rsid w:val="007F3ED7"/>
    <w:rsid w:val="007F4318"/>
    <w:rsid w:val="007F5490"/>
    <w:rsid w:val="00800A7E"/>
    <w:rsid w:val="0080263A"/>
    <w:rsid w:val="00805E84"/>
    <w:rsid w:val="00810596"/>
    <w:rsid w:val="0081213C"/>
    <w:rsid w:val="00813DCB"/>
    <w:rsid w:val="00814590"/>
    <w:rsid w:val="008179D0"/>
    <w:rsid w:val="008214A4"/>
    <w:rsid w:val="00822952"/>
    <w:rsid w:val="00823323"/>
    <w:rsid w:val="00823F06"/>
    <w:rsid w:val="00825E3B"/>
    <w:rsid w:val="00830EE4"/>
    <w:rsid w:val="00831DEF"/>
    <w:rsid w:val="0083206E"/>
    <w:rsid w:val="0083236B"/>
    <w:rsid w:val="0083252B"/>
    <w:rsid w:val="008328E4"/>
    <w:rsid w:val="008356FF"/>
    <w:rsid w:val="00836907"/>
    <w:rsid w:val="00841023"/>
    <w:rsid w:val="00841A10"/>
    <w:rsid w:val="0084235F"/>
    <w:rsid w:val="008440F9"/>
    <w:rsid w:val="0084441C"/>
    <w:rsid w:val="00846354"/>
    <w:rsid w:val="00847436"/>
    <w:rsid w:val="00850495"/>
    <w:rsid w:val="00850EC5"/>
    <w:rsid w:val="00851796"/>
    <w:rsid w:val="00852CCF"/>
    <w:rsid w:val="00860FA0"/>
    <w:rsid w:val="0087110B"/>
    <w:rsid w:val="00872CE0"/>
    <w:rsid w:val="008805E7"/>
    <w:rsid w:val="00880919"/>
    <w:rsid w:val="00885CBF"/>
    <w:rsid w:val="00887F44"/>
    <w:rsid w:val="008922A1"/>
    <w:rsid w:val="00894AB5"/>
    <w:rsid w:val="00896111"/>
    <w:rsid w:val="0089637F"/>
    <w:rsid w:val="008974FB"/>
    <w:rsid w:val="008A0540"/>
    <w:rsid w:val="008A056B"/>
    <w:rsid w:val="008A0CEB"/>
    <w:rsid w:val="008A1349"/>
    <w:rsid w:val="008A3161"/>
    <w:rsid w:val="008A422D"/>
    <w:rsid w:val="008A430D"/>
    <w:rsid w:val="008A56FE"/>
    <w:rsid w:val="008A6DB1"/>
    <w:rsid w:val="008B33E8"/>
    <w:rsid w:val="008C0317"/>
    <w:rsid w:val="008C1A9C"/>
    <w:rsid w:val="008C4238"/>
    <w:rsid w:val="008C4B7D"/>
    <w:rsid w:val="008C54D0"/>
    <w:rsid w:val="008C57FA"/>
    <w:rsid w:val="008C5917"/>
    <w:rsid w:val="008D2FB6"/>
    <w:rsid w:val="008D4BC1"/>
    <w:rsid w:val="008D5D99"/>
    <w:rsid w:val="008D62C4"/>
    <w:rsid w:val="008D72F8"/>
    <w:rsid w:val="008E0401"/>
    <w:rsid w:val="008E19F1"/>
    <w:rsid w:val="008E26B8"/>
    <w:rsid w:val="008E3775"/>
    <w:rsid w:val="008E4A4A"/>
    <w:rsid w:val="008E50F9"/>
    <w:rsid w:val="008E71C8"/>
    <w:rsid w:val="008F0944"/>
    <w:rsid w:val="008F0B72"/>
    <w:rsid w:val="008F0CB3"/>
    <w:rsid w:val="008F149D"/>
    <w:rsid w:val="008F2FF0"/>
    <w:rsid w:val="008F51B6"/>
    <w:rsid w:val="008F6B0B"/>
    <w:rsid w:val="008F6EB7"/>
    <w:rsid w:val="008F7FC7"/>
    <w:rsid w:val="00903862"/>
    <w:rsid w:val="00904D88"/>
    <w:rsid w:val="009059D3"/>
    <w:rsid w:val="009060B1"/>
    <w:rsid w:val="00906A06"/>
    <w:rsid w:val="00906CF9"/>
    <w:rsid w:val="00907D95"/>
    <w:rsid w:val="009111F7"/>
    <w:rsid w:val="00914CE2"/>
    <w:rsid w:val="009164A8"/>
    <w:rsid w:val="00917A39"/>
    <w:rsid w:val="0092098F"/>
    <w:rsid w:val="00920E24"/>
    <w:rsid w:val="00921CEC"/>
    <w:rsid w:val="00923C4C"/>
    <w:rsid w:val="0092759C"/>
    <w:rsid w:val="00927881"/>
    <w:rsid w:val="00932194"/>
    <w:rsid w:val="00932299"/>
    <w:rsid w:val="00935CA7"/>
    <w:rsid w:val="00942C5D"/>
    <w:rsid w:val="009431CE"/>
    <w:rsid w:val="009434F5"/>
    <w:rsid w:val="0094510B"/>
    <w:rsid w:val="009478FA"/>
    <w:rsid w:val="00952A37"/>
    <w:rsid w:val="0095360A"/>
    <w:rsid w:val="0095396C"/>
    <w:rsid w:val="00955FF1"/>
    <w:rsid w:val="0096361A"/>
    <w:rsid w:val="00963D4D"/>
    <w:rsid w:val="00965D3C"/>
    <w:rsid w:val="009674E2"/>
    <w:rsid w:val="009704E8"/>
    <w:rsid w:val="009752F1"/>
    <w:rsid w:val="0097772A"/>
    <w:rsid w:val="00977EA2"/>
    <w:rsid w:val="00980933"/>
    <w:rsid w:val="009815D1"/>
    <w:rsid w:val="0098400F"/>
    <w:rsid w:val="009847F2"/>
    <w:rsid w:val="00986FC8"/>
    <w:rsid w:val="009903A3"/>
    <w:rsid w:val="0099205D"/>
    <w:rsid w:val="009925D3"/>
    <w:rsid w:val="009931BD"/>
    <w:rsid w:val="0099391B"/>
    <w:rsid w:val="00993CB4"/>
    <w:rsid w:val="00993E75"/>
    <w:rsid w:val="00994258"/>
    <w:rsid w:val="009961AF"/>
    <w:rsid w:val="00997332"/>
    <w:rsid w:val="00997ED7"/>
    <w:rsid w:val="009A1541"/>
    <w:rsid w:val="009A19B4"/>
    <w:rsid w:val="009A2F0C"/>
    <w:rsid w:val="009A559F"/>
    <w:rsid w:val="009A56AB"/>
    <w:rsid w:val="009A57DB"/>
    <w:rsid w:val="009A7ECB"/>
    <w:rsid w:val="009B01ED"/>
    <w:rsid w:val="009B1160"/>
    <w:rsid w:val="009B25D5"/>
    <w:rsid w:val="009B7144"/>
    <w:rsid w:val="009C0295"/>
    <w:rsid w:val="009C3340"/>
    <w:rsid w:val="009C33FD"/>
    <w:rsid w:val="009C6566"/>
    <w:rsid w:val="009C79B1"/>
    <w:rsid w:val="009D3468"/>
    <w:rsid w:val="009D3B11"/>
    <w:rsid w:val="009D3B7C"/>
    <w:rsid w:val="009D47A9"/>
    <w:rsid w:val="009D7E6E"/>
    <w:rsid w:val="009E194E"/>
    <w:rsid w:val="009E2379"/>
    <w:rsid w:val="009E310F"/>
    <w:rsid w:val="009E3CD8"/>
    <w:rsid w:val="009E4711"/>
    <w:rsid w:val="009E6755"/>
    <w:rsid w:val="009E7274"/>
    <w:rsid w:val="009F3F85"/>
    <w:rsid w:val="00A013D6"/>
    <w:rsid w:val="00A01F07"/>
    <w:rsid w:val="00A05776"/>
    <w:rsid w:val="00A16E9C"/>
    <w:rsid w:val="00A216BD"/>
    <w:rsid w:val="00A24C42"/>
    <w:rsid w:val="00A2600F"/>
    <w:rsid w:val="00A331D1"/>
    <w:rsid w:val="00A336ED"/>
    <w:rsid w:val="00A33DAC"/>
    <w:rsid w:val="00A348D5"/>
    <w:rsid w:val="00A34AE9"/>
    <w:rsid w:val="00A36EAF"/>
    <w:rsid w:val="00A4085B"/>
    <w:rsid w:val="00A40FAF"/>
    <w:rsid w:val="00A42D9F"/>
    <w:rsid w:val="00A43B02"/>
    <w:rsid w:val="00A43BFA"/>
    <w:rsid w:val="00A45CD4"/>
    <w:rsid w:val="00A46857"/>
    <w:rsid w:val="00A50283"/>
    <w:rsid w:val="00A510C6"/>
    <w:rsid w:val="00A52466"/>
    <w:rsid w:val="00A52485"/>
    <w:rsid w:val="00A52858"/>
    <w:rsid w:val="00A5369E"/>
    <w:rsid w:val="00A56894"/>
    <w:rsid w:val="00A62E3D"/>
    <w:rsid w:val="00A70CFF"/>
    <w:rsid w:val="00A83188"/>
    <w:rsid w:val="00A84CC4"/>
    <w:rsid w:val="00A85534"/>
    <w:rsid w:val="00A85AFE"/>
    <w:rsid w:val="00A87965"/>
    <w:rsid w:val="00A900C9"/>
    <w:rsid w:val="00A92125"/>
    <w:rsid w:val="00A926AD"/>
    <w:rsid w:val="00A92824"/>
    <w:rsid w:val="00A9294C"/>
    <w:rsid w:val="00A9566F"/>
    <w:rsid w:val="00A96FAC"/>
    <w:rsid w:val="00A97379"/>
    <w:rsid w:val="00AA135C"/>
    <w:rsid w:val="00AA178F"/>
    <w:rsid w:val="00AA19BE"/>
    <w:rsid w:val="00AA29D5"/>
    <w:rsid w:val="00AA3559"/>
    <w:rsid w:val="00AA3A39"/>
    <w:rsid w:val="00AA3B10"/>
    <w:rsid w:val="00AA3DB5"/>
    <w:rsid w:val="00AA3EA9"/>
    <w:rsid w:val="00AA5FAE"/>
    <w:rsid w:val="00AB3539"/>
    <w:rsid w:val="00AB65A4"/>
    <w:rsid w:val="00AB6BE9"/>
    <w:rsid w:val="00AC0D4B"/>
    <w:rsid w:val="00AC34CB"/>
    <w:rsid w:val="00AC686A"/>
    <w:rsid w:val="00AC6BF3"/>
    <w:rsid w:val="00AC76E8"/>
    <w:rsid w:val="00AC7E13"/>
    <w:rsid w:val="00AC7E1E"/>
    <w:rsid w:val="00AD093F"/>
    <w:rsid w:val="00AD564A"/>
    <w:rsid w:val="00AD73DB"/>
    <w:rsid w:val="00AE317A"/>
    <w:rsid w:val="00AE3756"/>
    <w:rsid w:val="00AE3821"/>
    <w:rsid w:val="00AE6D6B"/>
    <w:rsid w:val="00AF061B"/>
    <w:rsid w:val="00AF0EB0"/>
    <w:rsid w:val="00AF34DE"/>
    <w:rsid w:val="00AF54C3"/>
    <w:rsid w:val="00AF750A"/>
    <w:rsid w:val="00B01D3F"/>
    <w:rsid w:val="00B01DC4"/>
    <w:rsid w:val="00B02390"/>
    <w:rsid w:val="00B02EC5"/>
    <w:rsid w:val="00B033F1"/>
    <w:rsid w:val="00B03427"/>
    <w:rsid w:val="00B10447"/>
    <w:rsid w:val="00B13037"/>
    <w:rsid w:val="00B15773"/>
    <w:rsid w:val="00B20D2D"/>
    <w:rsid w:val="00B20DE3"/>
    <w:rsid w:val="00B20E04"/>
    <w:rsid w:val="00B31094"/>
    <w:rsid w:val="00B313B3"/>
    <w:rsid w:val="00B31DC7"/>
    <w:rsid w:val="00B332F8"/>
    <w:rsid w:val="00B372F2"/>
    <w:rsid w:val="00B37C05"/>
    <w:rsid w:val="00B40E48"/>
    <w:rsid w:val="00B44B63"/>
    <w:rsid w:val="00B46AE5"/>
    <w:rsid w:val="00B47211"/>
    <w:rsid w:val="00B477F3"/>
    <w:rsid w:val="00B479A2"/>
    <w:rsid w:val="00B47EE6"/>
    <w:rsid w:val="00B50125"/>
    <w:rsid w:val="00B510F7"/>
    <w:rsid w:val="00B539D9"/>
    <w:rsid w:val="00B54C95"/>
    <w:rsid w:val="00B556B5"/>
    <w:rsid w:val="00B57186"/>
    <w:rsid w:val="00B61D5E"/>
    <w:rsid w:val="00B6252D"/>
    <w:rsid w:val="00B66F07"/>
    <w:rsid w:val="00B71023"/>
    <w:rsid w:val="00B71A76"/>
    <w:rsid w:val="00B7368D"/>
    <w:rsid w:val="00B744BA"/>
    <w:rsid w:val="00B74E30"/>
    <w:rsid w:val="00B82429"/>
    <w:rsid w:val="00B82C14"/>
    <w:rsid w:val="00B8350B"/>
    <w:rsid w:val="00B83E7A"/>
    <w:rsid w:val="00B858AC"/>
    <w:rsid w:val="00B86272"/>
    <w:rsid w:val="00B86553"/>
    <w:rsid w:val="00B9347F"/>
    <w:rsid w:val="00B94DDB"/>
    <w:rsid w:val="00B95CBD"/>
    <w:rsid w:val="00B964E1"/>
    <w:rsid w:val="00BA0493"/>
    <w:rsid w:val="00BA1302"/>
    <w:rsid w:val="00BA2364"/>
    <w:rsid w:val="00BA23A2"/>
    <w:rsid w:val="00BA33A9"/>
    <w:rsid w:val="00BA3E2A"/>
    <w:rsid w:val="00BA4C26"/>
    <w:rsid w:val="00BA580B"/>
    <w:rsid w:val="00BA6643"/>
    <w:rsid w:val="00BA7049"/>
    <w:rsid w:val="00BB26BC"/>
    <w:rsid w:val="00BB3D85"/>
    <w:rsid w:val="00BB5658"/>
    <w:rsid w:val="00BB7483"/>
    <w:rsid w:val="00BB7BDB"/>
    <w:rsid w:val="00BB7EE0"/>
    <w:rsid w:val="00BC1F99"/>
    <w:rsid w:val="00BC2C36"/>
    <w:rsid w:val="00BC4871"/>
    <w:rsid w:val="00BC4D5D"/>
    <w:rsid w:val="00BC7CD5"/>
    <w:rsid w:val="00BD06A0"/>
    <w:rsid w:val="00BD25B6"/>
    <w:rsid w:val="00BD5761"/>
    <w:rsid w:val="00BD6759"/>
    <w:rsid w:val="00BD6D76"/>
    <w:rsid w:val="00BE0CC0"/>
    <w:rsid w:val="00BE1321"/>
    <w:rsid w:val="00BE1B2C"/>
    <w:rsid w:val="00BE200A"/>
    <w:rsid w:val="00BF00C1"/>
    <w:rsid w:val="00BF312A"/>
    <w:rsid w:val="00BF4212"/>
    <w:rsid w:val="00BF5FDD"/>
    <w:rsid w:val="00BF7134"/>
    <w:rsid w:val="00C06738"/>
    <w:rsid w:val="00C11DF3"/>
    <w:rsid w:val="00C11EC1"/>
    <w:rsid w:val="00C12906"/>
    <w:rsid w:val="00C12B68"/>
    <w:rsid w:val="00C14991"/>
    <w:rsid w:val="00C165A1"/>
    <w:rsid w:val="00C22FB5"/>
    <w:rsid w:val="00C23C59"/>
    <w:rsid w:val="00C33173"/>
    <w:rsid w:val="00C35F43"/>
    <w:rsid w:val="00C423BA"/>
    <w:rsid w:val="00C45ACD"/>
    <w:rsid w:val="00C4611C"/>
    <w:rsid w:val="00C47153"/>
    <w:rsid w:val="00C50D1D"/>
    <w:rsid w:val="00C52A30"/>
    <w:rsid w:val="00C53C69"/>
    <w:rsid w:val="00C53DCD"/>
    <w:rsid w:val="00C53FFF"/>
    <w:rsid w:val="00C54522"/>
    <w:rsid w:val="00C558E6"/>
    <w:rsid w:val="00C56A16"/>
    <w:rsid w:val="00C56F90"/>
    <w:rsid w:val="00C62071"/>
    <w:rsid w:val="00C62A1C"/>
    <w:rsid w:val="00C645D3"/>
    <w:rsid w:val="00C654F1"/>
    <w:rsid w:val="00C67539"/>
    <w:rsid w:val="00C71166"/>
    <w:rsid w:val="00C71788"/>
    <w:rsid w:val="00C72DD1"/>
    <w:rsid w:val="00C73A35"/>
    <w:rsid w:val="00C74BE1"/>
    <w:rsid w:val="00C758D2"/>
    <w:rsid w:val="00C778A3"/>
    <w:rsid w:val="00C7796A"/>
    <w:rsid w:val="00C815BF"/>
    <w:rsid w:val="00C826B3"/>
    <w:rsid w:val="00C8760A"/>
    <w:rsid w:val="00C91775"/>
    <w:rsid w:val="00C934D1"/>
    <w:rsid w:val="00C95622"/>
    <w:rsid w:val="00C9597D"/>
    <w:rsid w:val="00C96695"/>
    <w:rsid w:val="00CA1E5E"/>
    <w:rsid w:val="00CA35F2"/>
    <w:rsid w:val="00CA4768"/>
    <w:rsid w:val="00CA5825"/>
    <w:rsid w:val="00CA6DCC"/>
    <w:rsid w:val="00CB035C"/>
    <w:rsid w:val="00CB1B17"/>
    <w:rsid w:val="00CB6585"/>
    <w:rsid w:val="00CB7291"/>
    <w:rsid w:val="00CB78D1"/>
    <w:rsid w:val="00CB78EF"/>
    <w:rsid w:val="00CC658E"/>
    <w:rsid w:val="00CC686C"/>
    <w:rsid w:val="00CC738B"/>
    <w:rsid w:val="00CD07B0"/>
    <w:rsid w:val="00CD0F11"/>
    <w:rsid w:val="00CD3D3E"/>
    <w:rsid w:val="00CD49CE"/>
    <w:rsid w:val="00CD5E38"/>
    <w:rsid w:val="00CE5733"/>
    <w:rsid w:val="00CE6621"/>
    <w:rsid w:val="00CE69EB"/>
    <w:rsid w:val="00CE6A29"/>
    <w:rsid w:val="00CE7A1D"/>
    <w:rsid w:val="00CE7EBD"/>
    <w:rsid w:val="00CE7FD8"/>
    <w:rsid w:val="00CF7D09"/>
    <w:rsid w:val="00D00074"/>
    <w:rsid w:val="00D004DE"/>
    <w:rsid w:val="00D054B6"/>
    <w:rsid w:val="00D157AF"/>
    <w:rsid w:val="00D175A3"/>
    <w:rsid w:val="00D175E6"/>
    <w:rsid w:val="00D21C5B"/>
    <w:rsid w:val="00D2387A"/>
    <w:rsid w:val="00D2477F"/>
    <w:rsid w:val="00D32E09"/>
    <w:rsid w:val="00D33903"/>
    <w:rsid w:val="00D33981"/>
    <w:rsid w:val="00D35E3F"/>
    <w:rsid w:val="00D3724C"/>
    <w:rsid w:val="00D377CD"/>
    <w:rsid w:val="00D40254"/>
    <w:rsid w:val="00D40B9B"/>
    <w:rsid w:val="00D40ED4"/>
    <w:rsid w:val="00D41C19"/>
    <w:rsid w:val="00D447B9"/>
    <w:rsid w:val="00D46AD2"/>
    <w:rsid w:val="00D46D3E"/>
    <w:rsid w:val="00D47F1E"/>
    <w:rsid w:val="00D52469"/>
    <w:rsid w:val="00D543EF"/>
    <w:rsid w:val="00D5598F"/>
    <w:rsid w:val="00D56691"/>
    <w:rsid w:val="00D61521"/>
    <w:rsid w:val="00D61D7B"/>
    <w:rsid w:val="00D62543"/>
    <w:rsid w:val="00D629C4"/>
    <w:rsid w:val="00D649E5"/>
    <w:rsid w:val="00D6752B"/>
    <w:rsid w:val="00D700B0"/>
    <w:rsid w:val="00D70362"/>
    <w:rsid w:val="00D72A76"/>
    <w:rsid w:val="00D75720"/>
    <w:rsid w:val="00D771DD"/>
    <w:rsid w:val="00D805F6"/>
    <w:rsid w:val="00D81485"/>
    <w:rsid w:val="00D84918"/>
    <w:rsid w:val="00D859F3"/>
    <w:rsid w:val="00D868BD"/>
    <w:rsid w:val="00D93E8A"/>
    <w:rsid w:val="00D95EF5"/>
    <w:rsid w:val="00D96D4D"/>
    <w:rsid w:val="00DA255D"/>
    <w:rsid w:val="00DA46EA"/>
    <w:rsid w:val="00DA473D"/>
    <w:rsid w:val="00DA5311"/>
    <w:rsid w:val="00DA5EE0"/>
    <w:rsid w:val="00DA7F92"/>
    <w:rsid w:val="00DB142F"/>
    <w:rsid w:val="00DB1DD6"/>
    <w:rsid w:val="00DB34D7"/>
    <w:rsid w:val="00DB361F"/>
    <w:rsid w:val="00DB3B40"/>
    <w:rsid w:val="00DB4665"/>
    <w:rsid w:val="00DB54D4"/>
    <w:rsid w:val="00DB5600"/>
    <w:rsid w:val="00DB7DF8"/>
    <w:rsid w:val="00DC1199"/>
    <w:rsid w:val="00DC16CA"/>
    <w:rsid w:val="00DC663A"/>
    <w:rsid w:val="00DD0496"/>
    <w:rsid w:val="00DD16EF"/>
    <w:rsid w:val="00DE0F1D"/>
    <w:rsid w:val="00DE4196"/>
    <w:rsid w:val="00DE4E0A"/>
    <w:rsid w:val="00DE63D8"/>
    <w:rsid w:val="00DF01F0"/>
    <w:rsid w:val="00DF1F97"/>
    <w:rsid w:val="00DF461B"/>
    <w:rsid w:val="00DF4DB7"/>
    <w:rsid w:val="00DF5248"/>
    <w:rsid w:val="00DF69E3"/>
    <w:rsid w:val="00DF785F"/>
    <w:rsid w:val="00E012E9"/>
    <w:rsid w:val="00E02AFA"/>
    <w:rsid w:val="00E0374D"/>
    <w:rsid w:val="00E03A0F"/>
    <w:rsid w:val="00E03B9B"/>
    <w:rsid w:val="00E0434C"/>
    <w:rsid w:val="00E059BE"/>
    <w:rsid w:val="00E05C58"/>
    <w:rsid w:val="00E070B4"/>
    <w:rsid w:val="00E14B21"/>
    <w:rsid w:val="00E15AE5"/>
    <w:rsid w:val="00E209E7"/>
    <w:rsid w:val="00E2321E"/>
    <w:rsid w:val="00E30B66"/>
    <w:rsid w:val="00E31F77"/>
    <w:rsid w:val="00E3211D"/>
    <w:rsid w:val="00E3776E"/>
    <w:rsid w:val="00E37AF0"/>
    <w:rsid w:val="00E4067B"/>
    <w:rsid w:val="00E41F27"/>
    <w:rsid w:val="00E44FD7"/>
    <w:rsid w:val="00E47237"/>
    <w:rsid w:val="00E54008"/>
    <w:rsid w:val="00E6089D"/>
    <w:rsid w:val="00E60B6E"/>
    <w:rsid w:val="00E611B7"/>
    <w:rsid w:val="00E617E9"/>
    <w:rsid w:val="00E61E33"/>
    <w:rsid w:val="00E626F9"/>
    <w:rsid w:val="00E672FA"/>
    <w:rsid w:val="00E7092E"/>
    <w:rsid w:val="00E74456"/>
    <w:rsid w:val="00E76502"/>
    <w:rsid w:val="00E87BB9"/>
    <w:rsid w:val="00E91361"/>
    <w:rsid w:val="00E93790"/>
    <w:rsid w:val="00E952C0"/>
    <w:rsid w:val="00EA09A7"/>
    <w:rsid w:val="00EA1C64"/>
    <w:rsid w:val="00EA229F"/>
    <w:rsid w:val="00EA449F"/>
    <w:rsid w:val="00EA51E5"/>
    <w:rsid w:val="00EA5253"/>
    <w:rsid w:val="00EB0239"/>
    <w:rsid w:val="00EB0DCB"/>
    <w:rsid w:val="00EB5698"/>
    <w:rsid w:val="00EB640D"/>
    <w:rsid w:val="00EC272E"/>
    <w:rsid w:val="00EC53CC"/>
    <w:rsid w:val="00EC558A"/>
    <w:rsid w:val="00EC6822"/>
    <w:rsid w:val="00EC7CC1"/>
    <w:rsid w:val="00ED450A"/>
    <w:rsid w:val="00ED5199"/>
    <w:rsid w:val="00ED51FD"/>
    <w:rsid w:val="00EE499C"/>
    <w:rsid w:val="00EE4B26"/>
    <w:rsid w:val="00EE50D3"/>
    <w:rsid w:val="00EE5BDE"/>
    <w:rsid w:val="00EE6FB0"/>
    <w:rsid w:val="00EE719A"/>
    <w:rsid w:val="00EF1FD9"/>
    <w:rsid w:val="00EF5FEF"/>
    <w:rsid w:val="00EF686A"/>
    <w:rsid w:val="00EF74E7"/>
    <w:rsid w:val="00EF7700"/>
    <w:rsid w:val="00EF7D65"/>
    <w:rsid w:val="00F028F2"/>
    <w:rsid w:val="00F03B5D"/>
    <w:rsid w:val="00F062F7"/>
    <w:rsid w:val="00F06FCC"/>
    <w:rsid w:val="00F07AB9"/>
    <w:rsid w:val="00F10BEC"/>
    <w:rsid w:val="00F11682"/>
    <w:rsid w:val="00F117A8"/>
    <w:rsid w:val="00F155FF"/>
    <w:rsid w:val="00F15A69"/>
    <w:rsid w:val="00F15DD7"/>
    <w:rsid w:val="00F243EE"/>
    <w:rsid w:val="00F30D73"/>
    <w:rsid w:val="00F31FAA"/>
    <w:rsid w:val="00F32D45"/>
    <w:rsid w:val="00F36512"/>
    <w:rsid w:val="00F36A2B"/>
    <w:rsid w:val="00F37FAF"/>
    <w:rsid w:val="00F40CE1"/>
    <w:rsid w:val="00F419E7"/>
    <w:rsid w:val="00F451FD"/>
    <w:rsid w:val="00F46D86"/>
    <w:rsid w:val="00F476D5"/>
    <w:rsid w:val="00F5045C"/>
    <w:rsid w:val="00F5092F"/>
    <w:rsid w:val="00F52093"/>
    <w:rsid w:val="00F53286"/>
    <w:rsid w:val="00F60A8D"/>
    <w:rsid w:val="00F6182F"/>
    <w:rsid w:val="00F626E3"/>
    <w:rsid w:val="00F62E96"/>
    <w:rsid w:val="00F64D8D"/>
    <w:rsid w:val="00F731CA"/>
    <w:rsid w:val="00F753A8"/>
    <w:rsid w:val="00F76D1C"/>
    <w:rsid w:val="00F7735B"/>
    <w:rsid w:val="00F81759"/>
    <w:rsid w:val="00F81C6D"/>
    <w:rsid w:val="00F83048"/>
    <w:rsid w:val="00F830A4"/>
    <w:rsid w:val="00F8738A"/>
    <w:rsid w:val="00F87EE2"/>
    <w:rsid w:val="00F923B8"/>
    <w:rsid w:val="00FA3477"/>
    <w:rsid w:val="00FA422E"/>
    <w:rsid w:val="00FA4A7C"/>
    <w:rsid w:val="00FA5D38"/>
    <w:rsid w:val="00FA65AC"/>
    <w:rsid w:val="00FA72B1"/>
    <w:rsid w:val="00FB26B3"/>
    <w:rsid w:val="00FB501D"/>
    <w:rsid w:val="00FB78CF"/>
    <w:rsid w:val="00FB7965"/>
    <w:rsid w:val="00FC059C"/>
    <w:rsid w:val="00FC10F7"/>
    <w:rsid w:val="00FC1C67"/>
    <w:rsid w:val="00FC21FA"/>
    <w:rsid w:val="00FC6A7B"/>
    <w:rsid w:val="00FD07BB"/>
    <w:rsid w:val="00FD5C43"/>
    <w:rsid w:val="00FD5FA9"/>
    <w:rsid w:val="00FE21C0"/>
    <w:rsid w:val="00FE2C1A"/>
    <w:rsid w:val="00FE3A13"/>
    <w:rsid w:val="00FE735B"/>
    <w:rsid w:val="00FF19E5"/>
    <w:rsid w:val="00FF2D68"/>
    <w:rsid w:val="00FF7EB1"/>
    <w:rsid w:val="00FF7ECD"/>
    <w:rsid w:val="01047EC9"/>
    <w:rsid w:val="012D31A5"/>
    <w:rsid w:val="06160327"/>
    <w:rsid w:val="06A844CF"/>
    <w:rsid w:val="07DD11B0"/>
    <w:rsid w:val="08310510"/>
    <w:rsid w:val="091B011C"/>
    <w:rsid w:val="097E7715"/>
    <w:rsid w:val="09E7167B"/>
    <w:rsid w:val="09FA103A"/>
    <w:rsid w:val="0ADA2A65"/>
    <w:rsid w:val="0DF84DEF"/>
    <w:rsid w:val="0EF52BBD"/>
    <w:rsid w:val="109C54EB"/>
    <w:rsid w:val="1140310A"/>
    <w:rsid w:val="11C93D65"/>
    <w:rsid w:val="12E82573"/>
    <w:rsid w:val="161E6D42"/>
    <w:rsid w:val="17C50A0F"/>
    <w:rsid w:val="19AA6632"/>
    <w:rsid w:val="1A1F2EF0"/>
    <w:rsid w:val="1A6A10E3"/>
    <w:rsid w:val="1ABE561E"/>
    <w:rsid w:val="1C2A21FF"/>
    <w:rsid w:val="1CF32A42"/>
    <w:rsid w:val="1FE622F5"/>
    <w:rsid w:val="20ED50BC"/>
    <w:rsid w:val="2193721D"/>
    <w:rsid w:val="232837A3"/>
    <w:rsid w:val="267C16D9"/>
    <w:rsid w:val="27B9133E"/>
    <w:rsid w:val="28B25387"/>
    <w:rsid w:val="28ED7169"/>
    <w:rsid w:val="2A471F17"/>
    <w:rsid w:val="2DCB295F"/>
    <w:rsid w:val="2E86790A"/>
    <w:rsid w:val="2E906599"/>
    <w:rsid w:val="2F7E438B"/>
    <w:rsid w:val="308333F2"/>
    <w:rsid w:val="32A92A2F"/>
    <w:rsid w:val="336D6ADD"/>
    <w:rsid w:val="345C39D5"/>
    <w:rsid w:val="37CA3614"/>
    <w:rsid w:val="393A66B9"/>
    <w:rsid w:val="446308F9"/>
    <w:rsid w:val="44AC0157"/>
    <w:rsid w:val="473F6258"/>
    <w:rsid w:val="4AB246FD"/>
    <w:rsid w:val="4C09663D"/>
    <w:rsid w:val="4EAE5E83"/>
    <w:rsid w:val="52004CC0"/>
    <w:rsid w:val="52405792"/>
    <w:rsid w:val="527201A3"/>
    <w:rsid w:val="551D42C2"/>
    <w:rsid w:val="553D77A8"/>
    <w:rsid w:val="56591804"/>
    <w:rsid w:val="570462EF"/>
    <w:rsid w:val="57334DC9"/>
    <w:rsid w:val="585A227C"/>
    <w:rsid w:val="5A15169B"/>
    <w:rsid w:val="5B63016F"/>
    <w:rsid w:val="5BA961E4"/>
    <w:rsid w:val="5E881B4C"/>
    <w:rsid w:val="5F0A541C"/>
    <w:rsid w:val="604014E2"/>
    <w:rsid w:val="649657F1"/>
    <w:rsid w:val="64BE30DB"/>
    <w:rsid w:val="65D70BDC"/>
    <w:rsid w:val="660963E9"/>
    <w:rsid w:val="66B312AA"/>
    <w:rsid w:val="68B304E9"/>
    <w:rsid w:val="6AC860D9"/>
    <w:rsid w:val="71177D98"/>
    <w:rsid w:val="745E7E46"/>
    <w:rsid w:val="79304572"/>
    <w:rsid w:val="79C83508"/>
    <w:rsid w:val="7B940940"/>
    <w:rsid w:val="7D7C37C5"/>
    <w:rsid w:val="7EAF0CBC"/>
    <w:rsid w:val="7F610522"/>
    <w:rsid w:val="7FB85F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iPriority="99" w:name="List"/>
    <w:lsdException w:uiPriority="99" w:name="List Bullet"/>
    <w:lsdException w:uiPriority="99"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iPriority="99" w:name="List Bullet 5"/>
    <w:lsdException w:unhideWhenUsed="0" w:uiPriority="0" w:semiHidden="0"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4">
    <w:name w:val="heading 2"/>
    <w:basedOn w:val="1"/>
    <w:next w:val="1"/>
    <w:link w:val="67"/>
    <w:qFormat/>
    <w:uiPriority w:val="0"/>
    <w:pPr>
      <w:keepNext/>
      <w:keepLines/>
      <w:adjustRightInd w:val="0"/>
      <w:snapToGrid w:val="0"/>
      <w:spacing w:line="360" w:lineRule="auto"/>
      <w:outlineLvl w:val="1"/>
    </w:pPr>
    <w:rPr>
      <w:rFonts w:ascii="宋体" w:hAnsi="宋体"/>
    </w:rPr>
  </w:style>
  <w:style w:type="paragraph" w:styleId="5">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paragraph" w:styleId="6">
    <w:name w:val="heading 4"/>
    <w:basedOn w:val="1"/>
    <w:next w:val="1"/>
    <w:qFormat/>
    <w:uiPriority w:val="0"/>
    <w:pPr>
      <w:keepNext/>
      <w:keepLines/>
      <w:numPr>
        <w:ilvl w:val="0"/>
        <w:numId w:val="1"/>
      </w:numPr>
      <w:spacing w:before="560" w:beforeLines="0" w:after="290" w:afterLines="0" w:line="377"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beforeLines="0" w:beforeAutospacing="0" w:after="64" w:afterLines="0" w:afterAutospacing="0"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beforeLines="0" w:beforeAutospacing="0" w:after="64" w:afterLines="0" w:afterAutospacing="0"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beforeLines="0" w:beforeAutospacing="0" w:after="64" w:afterLines="0" w:afterAutospacing="0"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beforeLines="0" w:beforeAutospacing="0" w:after="64" w:afterLines="0" w:afterAutospacing="0" w:line="317" w:lineRule="auto"/>
      <w:ind w:left="1584" w:hanging="1584"/>
      <w:outlineLvl w:val="8"/>
    </w:pPr>
    <w:rPr>
      <w:rFonts w:ascii="Arial" w:hAnsi="Arial" w:eastAsia="黑体"/>
      <w:b/>
      <w:sz w:val="24"/>
    </w:rPr>
  </w:style>
  <w:style w:type="character" w:default="1" w:styleId="59">
    <w:name w:val="Default Paragraph Font"/>
    <w:uiPriority w:val="0"/>
  </w:style>
  <w:style w:type="table" w:default="1" w:styleId="57">
    <w:name w:val="Normal Table"/>
    <w:unhideWhenUsed/>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kern w:val="2"/>
      <w:sz w:val="32"/>
    </w:rPr>
  </w:style>
  <w:style w:type="paragraph" w:styleId="12">
    <w:name w:val="List 3"/>
    <w:basedOn w:val="1"/>
    <w:uiPriority w:val="0"/>
    <w:pPr>
      <w:adjustRightInd w:val="0"/>
      <w:snapToGrid w:val="0"/>
      <w:spacing w:line="360" w:lineRule="auto"/>
      <w:ind w:left="100" w:leftChars="400" w:hanging="200" w:hangingChars="200"/>
    </w:pPr>
    <w:rPr>
      <w:sz w:val="24"/>
    </w:rPr>
  </w:style>
  <w:style w:type="paragraph" w:styleId="13">
    <w:name w:val="toc 7"/>
    <w:basedOn w:val="1"/>
    <w:next w:val="1"/>
    <w:uiPriority w:val="0"/>
    <w:pPr>
      <w:ind w:left="2520" w:leftChars="1200"/>
    </w:pPr>
  </w:style>
  <w:style w:type="paragraph" w:styleId="14">
    <w:name w:val="List Number 2"/>
    <w:basedOn w:val="1"/>
    <w:uiPriority w:val="0"/>
    <w:pPr>
      <w:numPr>
        <w:ilvl w:val="0"/>
        <w:numId w:val="2"/>
      </w:numPr>
      <w:spacing w:line="360" w:lineRule="auto"/>
    </w:pPr>
    <w:rPr>
      <w:sz w:val="24"/>
    </w:rPr>
  </w:style>
  <w:style w:type="paragraph" w:styleId="15">
    <w:name w:val="List Bullet 4"/>
    <w:basedOn w:val="1"/>
    <w:uiPriority w:val="0"/>
    <w:pPr>
      <w:widowControl/>
      <w:numPr>
        <w:ilvl w:val="0"/>
        <w:numId w:val="3"/>
      </w:numPr>
      <w:tabs>
        <w:tab w:val="left" w:pos="1134"/>
        <w:tab w:val="clear" w:pos="1620"/>
      </w:tabs>
      <w:adjustRightInd w:val="0"/>
      <w:snapToGrid w:val="0"/>
      <w:spacing w:before="120" w:beforeLines="0" w:line="280" w:lineRule="atLeast"/>
      <w:ind w:left="1418" w:hanging="284"/>
      <w:jc w:val="left"/>
    </w:pPr>
    <w:rPr>
      <w:rFonts w:ascii="宋体"/>
      <w:kern w:val="0"/>
      <w:sz w:val="22"/>
    </w:rPr>
  </w:style>
  <w:style w:type="paragraph" w:styleId="16">
    <w:name w:val="Normal Indent"/>
    <w:basedOn w:val="1"/>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uiPriority w:val="0"/>
    <w:pPr>
      <w:shd w:val="clear" w:color="auto" w:fill="000080"/>
    </w:pPr>
  </w:style>
  <w:style w:type="paragraph" w:styleId="19">
    <w:name w:val="toa heading"/>
    <w:basedOn w:val="1"/>
    <w:next w:val="1"/>
    <w:uiPriority w:val="0"/>
    <w:pPr>
      <w:spacing w:before="120" w:beforeLines="0" w:beforeAutospacing="0"/>
    </w:pPr>
    <w:rPr>
      <w:rFonts w:ascii="Arial" w:hAnsi="Arial"/>
      <w:sz w:val="24"/>
    </w:rPr>
  </w:style>
  <w:style w:type="paragraph" w:styleId="20">
    <w:name w:val="annotation text"/>
    <w:basedOn w:val="1"/>
    <w:link w:val="68"/>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1">
    <w:name w:val="Body Text 3"/>
    <w:basedOn w:val="1"/>
    <w:uiPriority w:val="0"/>
    <w:pPr>
      <w:adjustRightInd w:val="0"/>
      <w:snapToGrid w:val="0"/>
      <w:spacing w:after="120" w:afterLines="0" w:afterAutospacing="0" w:line="360" w:lineRule="auto"/>
    </w:pPr>
    <w:rPr>
      <w:sz w:val="16"/>
    </w:rPr>
  </w:style>
  <w:style w:type="paragraph" w:styleId="22">
    <w:name w:val="List Bullet 3"/>
    <w:basedOn w:val="1"/>
    <w:uiPriority w:val="0"/>
    <w:pPr>
      <w:numPr>
        <w:ilvl w:val="0"/>
        <w:numId w:val="4"/>
      </w:numPr>
      <w:adjustRightInd w:val="0"/>
      <w:snapToGrid w:val="0"/>
      <w:spacing w:line="360" w:lineRule="auto"/>
    </w:pPr>
    <w:rPr>
      <w:sz w:val="24"/>
    </w:rPr>
  </w:style>
  <w:style w:type="paragraph" w:styleId="23">
    <w:name w:val="Body Text Indent"/>
    <w:basedOn w:val="1"/>
    <w:uiPriority w:val="0"/>
    <w:pPr>
      <w:spacing w:line="700" w:lineRule="exact"/>
      <w:ind w:left="960"/>
    </w:pPr>
    <w:rPr>
      <w:sz w:val="44"/>
    </w:rPr>
  </w:style>
  <w:style w:type="paragraph" w:styleId="24">
    <w:name w:val="List Number 3"/>
    <w:basedOn w:val="1"/>
    <w:uiPriority w:val="0"/>
    <w:pPr>
      <w:tabs>
        <w:tab w:val="left" w:pos="2120"/>
      </w:tabs>
      <w:adjustRightInd w:val="0"/>
      <w:snapToGrid w:val="0"/>
      <w:spacing w:line="360" w:lineRule="auto"/>
      <w:ind w:left="2120" w:hanging="720"/>
    </w:pPr>
    <w:rPr>
      <w:sz w:val="24"/>
    </w:rPr>
  </w:style>
  <w:style w:type="paragraph" w:styleId="25">
    <w:name w:val="List 2"/>
    <w:basedOn w:val="1"/>
    <w:uiPriority w:val="0"/>
    <w:pPr>
      <w:adjustRightInd w:val="0"/>
      <w:snapToGrid w:val="0"/>
      <w:spacing w:line="360" w:lineRule="auto"/>
      <w:ind w:left="100" w:leftChars="200" w:hanging="200" w:hangingChars="200"/>
    </w:pPr>
    <w:rPr>
      <w:sz w:val="24"/>
    </w:rPr>
  </w:style>
  <w:style w:type="paragraph" w:styleId="26">
    <w:name w:val="List Continue"/>
    <w:basedOn w:val="1"/>
    <w:uiPriority w:val="0"/>
    <w:pPr>
      <w:adjustRightInd w:val="0"/>
      <w:snapToGrid w:val="0"/>
      <w:spacing w:after="120" w:afterLines="0" w:afterAutospacing="0" w:line="360" w:lineRule="auto"/>
      <w:ind w:left="420" w:leftChars="200"/>
    </w:pPr>
    <w:rPr>
      <w:sz w:val="24"/>
    </w:rPr>
  </w:style>
  <w:style w:type="paragraph" w:styleId="27">
    <w:name w:val="List Bullet 2"/>
    <w:basedOn w:val="1"/>
    <w:uiPriority w:val="0"/>
    <w:pPr>
      <w:numPr>
        <w:ilvl w:val="0"/>
        <w:numId w:val="5"/>
      </w:numPr>
      <w:adjustRightInd w:val="0"/>
      <w:snapToGrid w:val="0"/>
      <w:spacing w:line="360" w:lineRule="auto"/>
    </w:pPr>
    <w:rPr>
      <w:sz w:val="24"/>
    </w:rPr>
  </w:style>
  <w:style w:type="paragraph" w:styleId="28">
    <w:name w:val="toc 5"/>
    <w:basedOn w:val="1"/>
    <w:next w:val="1"/>
    <w:uiPriority w:val="0"/>
    <w:pPr>
      <w:ind w:left="1680" w:leftChars="800"/>
    </w:pPr>
  </w:style>
  <w:style w:type="paragraph" w:styleId="29">
    <w:name w:val="toc 3"/>
    <w:basedOn w:val="1"/>
    <w:next w:val="1"/>
    <w:uiPriority w:val="0"/>
    <w:pPr>
      <w:ind w:left="840" w:leftChars="400"/>
    </w:pPr>
  </w:style>
  <w:style w:type="paragraph" w:styleId="30">
    <w:name w:val="Plain Text"/>
    <w:basedOn w:val="1"/>
    <w:uiPriority w:val="0"/>
    <w:pPr>
      <w:adjustRightInd w:val="0"/>
      <w:snapToGrid w:val="0"/>
      <w:spacing w:line="360" w:lineRule="auto"/>
    </w:pPr>
    <w:rPr>
      <w:rFonts w:ascii="宋体" w:hAnsi="Courier New"/>
      <w:sz w:val="21"/>
    </w:rPr>
  </w:style>
  <w:style w:type="paragraph" w:styleId="31">
    <w:name w:val="toc 8"/>
    <w:basedOn w:val="1"/>
    <w:next w:val="1"/>
    <w:uiPriority w:val="0"/>
    <w:pPr>
      <w:ind w:left="2940" w:leftChars="1400"/>
    </w:pPr>
  </w:style>
  <w:style w:type="paragraph" w:styleId="32">
    <w:name w:val="Date"/>
    <w:basedOn w:val="1"/>
    <w:next w:val="1"/>
    <w:link w:val="69"/>
    <w:uiPriority w:val="0"/>
  </w:style>
  <w:style w:type="paragraph" w:styleId="33">
    <w:name w:val="Body Text Indent 2"/>
    <w:basedOn w:val="1"/>
    <w:uiPriority w:val="0"/>
    <w:pPr>
      <w:snapToGrid w:val="0"/>
      <w:spacing w:line="440" w:lineRule="atLeast"/>
      <w:ind w:firstLine="570"/>
    </w:pPr>
    <w:rPr>
      <w:rFonts w:ascii="宋体"/>
    </w:rPr>
  </w:style>
  <w:style w:type="paragraph" w:styleId="34">
    <w:name w:val="Balloon Text"/>
    <w:basedOn w:val="1"/>
    <w:uiPriority w:val="0"/>
    <w:rPr>
      <w:sz w:val="18"/>
    </w:rPr>
  </w:style>
  <w:style w:type="paragraph" w:styleId="35">
    <w:name w:val="footer"/>
    <w:basedOn w:val="1"/>
    <w:uiPriority w:val="0"/>
    <w:pPr>
      <w:tabs>
        <w:tab w:val="center" w:pos="4153"/>
        <w:tab w:val="right" w:pos="8306"/>
      </w:tabs>
      <w:snapToGrid w:val="0"/>
      <w:jc w:val="left"/>
    </w:pPr>
    <w:rPr>
      <w:rFonts w:eastAsia="宋体"/>
      <w:kern w:val="2"/>
      <w:sz w:val="18"/>
      <w:lang w:val="en-US" w:eastAsia="zh-CN"/>
    </w:rPr>
  </w:style>
  <w:style w:type="paragraph" w:styleId="36">
    <w:name w:val="header"/>
    <w:basedOn w:val="1"/>
    <w:uiPriority w:val="0"/>
    <w:pPr>
      <w:pBdr>
        <w:bottom w:val="single" w:color="auto" w:sz="6" w:space="1"/>
      </w:pBdr>
      <w:tabs>
        <w:tab w:val="center" w:pos="4153"/>
        <w:tab w:val="right" w:pos="8306"/>
      </w:tabs>
      <w:snapToGrid w:val="0"/>
      <w:jc w:val="center"/>
    </w:pPr>
    <w:rPr>
      <w:rFonts w:eastAsia="宋体"/>
      <w:kern w:val="2"/>
      <w:sz w:val="18"/>
      <w:lang w:val="en-US" w:eastAsia="zh-CN"/>
    </w:rPr>
  </w:style>
  <w:style w:type="paragraph" w:styleId="37">
    <w:name w:val="toc 1"/>
    <w:basedOn w:val="1"/>
    <w:next w:val="1"/>
    <w:uiPriority w:val="39"/>
    <w:pPr>
      <w:tabs>
        <w:tab w:val="left" w:pos="1260"/>
        <w:tab w:val="left" w:pos="1685"/>
        <w:tab w:val="right" w:leader="dot" w:pos="8400"/>
      </w:tabs>
      <w:spacing w:line="320" w:lineRule="exact"/>
      <w:ind w:firstLine="280" w:firstLineChars="100"/>
    </w:pPr>
  </w:style>
  <w:style w:type="paragraph" w:styleId="38">
    <w:name w:val="List Continue 4"/>
    <w:basedOn w:val="1"/>
    <w:uiPriority w:val="0"/>
    <w:pPr>
      <w:adjustRightInd w:val="0"/>
      <w:snapToGrid w:val="0"/>
      <w:spacing w:after="120" w:afterLines="0" w:afterAutospacing="0" w:line="360" w:lineRule="auto"/>
      <w:ind w:left="1680" w:leftChars="800"/>
    </w:pPr>
    <w:rPr>
      <w:sz w:val="24"/>
    </w:rPr>
  </w:style>
  <w:style w:type="paragraph" w:styleId="39">
    <w:name w:val="toc 4"/>
    <w:basedOn w:val="1"/>
    <w:next w:val="1"/>
    <w:uiPriority w:val="0"/>
    <w:pPr>
      <w:ind w:left="1260" w:leftChars="600"/>
    </w:pPr>
  </w:style>
  <w:style w:type="paragraph" w:styleId="40">
    <w:name w:val="footnote text"/>
    <w:basedOn w:val="1"/>
    <w:uiPriority w:val="0"/>
    <w:pPr>
      <w:spacing w:line="360" w:lineRule="auto"/>
    </w:pPr>
    <w:rPr>
      <w:sz w:val="18"/>
    </w:rPr>
  </w:style>
  <w:style w:type="paragraph" w:styleId="41">
    <w:name w:val="toc 6"/>
    <w:basedOn w:val="1"/>
    <w:next w:val="1"/>
    <w:uiPriority w:val="0"/>
    <w:pPr>
      <w:ind w:left="2100" w:leftChars="1000"/>
    </w:pPr>
  </w:style>
  <w:style w:type="paragraph" w:styleId="42">
    <w:name w:val="List 5"/>
    <w:basedOn w:val="1"/>
    <w:uiPriority w:val="0"/>
    <w:pPr>
      <w:adjustRightInd w:val="0"/>
      <w:snapToGrid w:val="0"/>
      <w:spacing w:line="360" w:lineRule="auto"/>
      <w:ind w:left="100" w:leftChars="800" w:hanging="200" w:hangingChars="200"/>
    </w:pPr>
    <w:rPr>
      <w:sz w:val="24"/>
    </w:rPr>
  </w:style>
  <w:style w:type="paragraph" w:styleId="43">
    <w:name w:val="Body Text Indent 3"/>
    <w:basedOn w:val="1"/>
    <w:uiPriority w:val="0"/>
    <w:pPr>
      <w:spacing w:line="360" w:lineRule="auto"/>
      <w:ind w:firstLine="632"/>
    </w:pPr>
    <w:rPr>
      <w:rFonts w:ascii="黑体" w:eastAsia="黑体"/>
    </w:rPr>
  </w:style>
  <w:style w:type="paragraph" w:styleId="44">
    <w:name w:val="table of figures"/>
    <w:basedOn w:val="1"/>
    <w:next w:val="1"/>
    <w:uiPriority w:val="0"/>
    <w:pPr>
      <w:tabs>
        <w:tab w:val="right" w:leader="dot" w:pos="8640"/>
      </w:tabs>
      <w:spacing w:line="360" w:lineRule="auto"/>
      <w:ind w:left="400" w:hanging="400"/>
    </w:pPr>
    <w:rPr>
      <w:sz w:val="24"/>
    </w:rPr>
  </w:style>
  <w:style w:type="paragraph" w:styleId="45">
    <w:name w:val="toc 2"/>
    <w:basedOn w:val="1"/>
    <w:next w:val="1"/>
    <w:uiPriority w:val="39"/>
    <w:pPr>
      <w:tabs>
        <w:tab w:val="right" w:leader="dot" w:pos="8400"/>
      </w:tabs>
      <w:spacing w:line="440" w:lineRule="exact"/>
      <w:ind w:left="280" w:leftChars="100" w:rightChars="-91"/>
    </w:pPr>
  </w:style>
  <w:style w:type="paragraph" w:styleId="46">
    <w:name w:val="toc 9"/>
    <w:basedOn w:val="1"/>
    <w:next w:val="1"/>
    <w:uiPriority w:val="0"/>
    <w:pPr>
      <w:ind w:left="3360" w:leftChars="1600"/>
    </w:pPr>
  </w:style>
  <w:style w:type="paragraph" w:styleId="47">
    <w:name w:val="Body Text 2"/>
    <w:basedOn w:val="1"/>
    <w:uiPriority w:val="0"/>
    <w:pPr>
      <w:adjustRightInd w:val="0"/>
      <w:snapToGrid w:val="0"/>
      <w:spacing w:after="120" w:afterLines="0" w:afterAutospacing="0" w:line="480" w:lineRule="auto"/>
    </w:pPr>
    <w:rPr>
      <w:sz w:val="24"/>
    </w:rPr>
  </w:style>
  <w:style w:type="paragraph" w:styleId="48">
    <w:name w:val="List 4"/>
    <w:basedOn w:val="1"/>
    <w:uiPriority w:val="0"/>
    <w:pPr>
      <w:adjustRightInd w:val="0"/>
      <w:snapToGrid w:val="0"/>
      <w:spacing w:line="360" w:lineRule="auto"/>
      <w:ind w:left="100" w:leftChars="600" w:hanging="200" w:hangingChars="200"/>
    </w:pPr>
    <w:rPr>
      <w:sz w:val="24"/>
    </w:rPr>
  </w:style>
  <w:style w:type="paragraph" w:styleId="49">
    <w:name w:val="List Continue 2"/>
    <w:basedOn w:val="1"/>
    <w:uiPriority w:val="0"/>
    <w:pPr>
      <w:adjustRightInd w:val="0"/>
      <w:snapToGrid w:val="0"/>
      <w:spacing w:after="120" w:afterLines="0" w:afterAutospacing="0" w:line="360" w:lineRule="auto"/>
      <w:ind w:left="840" w:leftChars="400"/>
    </w:pPr>
    <w:rPr>
      <w:sz w:val="24"/>
    </w:rPr>
  </w:style>
  <w:style w:type="paragraph" w:styleId="50">
    <w:name w:val="Normal (Web)"/>
    <w:basedOn w:val="1"/>
    <w:uiPriority w:val="99"/>
    <w:pPr>
      <w:widowControl/>
      <w:spacing w:before="100" w:beforeLines="0" w:beforeAutospacing="1" w:after="100" w:afterLines="0" w:afterAutospacing="1"/>
      <w:jc w:val="left"/>
    </w:pPr>
    <w:rPr>
      <w:rFonts w:ascii="Arial Unicode MS" w:hAnsi="Arial Unicode MS" w:eastAsia="Arial Unicode MS"/>
      <w:kern w:val="0"/>
      <w:sz w:val="24"/>
    </w:rPr>
  </w:style>
  <w:style w:type="paragraph" w:styleId="51">
    <w:name w:val="List Continue 3"/>
    <w:basedOn w:val="1"/>
    <w:uiPriority w:val="0"/>
    <w:pPr>
      <w:adjustRightInd w:val="0"/>
      <w:snapToGrid w:val="0"/>
      <w:spacing w:after="120" w:afterLines="0" w:afterAutospacing="0" w:line="360" w:lineRule="auto"/>
      <w:ind w:left="1260" w:leftChars="600"/>
    </w:pPr>
    <w:rPr>
      <w:sz w:val="24"/>
    </w:rPr>
  </w:style>
  <w:style w:type="paragraph" w:styleId="52">
    <w:name w:val="index 1"/>
    <w:basedOn w:val="1"/>
    <w:next w:val="1"/>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afterLines="0" w:afterAutospacing="0" w:line="360" w:lineRule="auto"/>
      <w:jc w:val="center"/>
    </w:pPr>
    <w:rPr>
      <w:rFonts w:ascii="Arial" w:hAnsi="Arial" w:eastAsia="宋体"/>
      <w:b/>
      <w:smallCaps/>
      <w:kern w:val="28"/>
      <w:sz w:val="36"/>
      <w:lang w:val="en-US" w:eastAsia="en-US"/>
    </w:rPr>
  </w:style>
  <w:style w:type="paragraph" w:styleId="54">
    <w:name w:val="annotation subject"/>
    <w:basedOn w:val="20"/>
    <w:next w:val="20"/>
    <w:uiPriority w:val="0"/>
    <w:pPr>
      <w:widowControl w:val="0"/>
      <w:tabs>
        <w:tab w:val="clear" w:pos="1134"/>
      </w:tabs>
      <w:adjustRightInd/>
      <w:snapToGrid/>
      <w:spacing w:line="240" w:lineRule="auto"/>
    </w:pPr>
    <w:rPr>
      <w:rFonts w:eastAsia="宋体"/>
      <w:b/>
      <w:kern w:val="2"/>
      <w:sz w:val="21"/>
      <w:lang w:val="en-US" w:eastAsia="zh-CN"/>
    </w:rPr>
  </w:style>
  <w:style w:type="paragraph" w:styleId="55">
    <w:name w:val="Body Text First Indent"/>
    <w:basedOn w:val="2"/>
    <w:uiPriority w:val="0"/>
    <w:pPr>
      <w:spacing w:line="360" w:lineRule="auto"/>
      <w:ind w:firstLine="420"/>
    </w:pPr>
    <w:rPr>
      <w:rFonts w:ascii="宋体" w:hAnsi="宋体"/>
      <w:sz w:val="24"/>
    </w:rPr>
  </w:style>
  <w:style w:type="paragraph" w:styleId="56">
    <w:name w:val="Body Text First Indent 2"/>
    <w:basedOn w:val="23"/>
    <w:uiPriority w:val="0"/>
    <w:pPr>
      <w:spacing w:after="120" w:afterLines="0" w:afterAutospacing="0" w:line="240" w:lineRule="auto"/>
      <w:ind w:left="420" w:leftChars="200" w:firstLine="420" w:firstLineChars="200"/>
    </w:pPr>
    <w:rPr>
      <w:sz w:val="21"/>
    </w:rPr>
  </w:style>
  <w:style w:type="table" w:styleId="58">
    <w:name w:val="Table Grid"/>
    <w:basedOn w:val="5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22"/>
    <w:rPr>
      <w:b/>
    </w:rPr>
  </w:style>
  <w:style w:type="character" w:styleId="61">
    <w:name w:val="page number"/>
    <w:basedOn w:val="59"/>
    <w:uiPriority w:val="0"/>
  </w:style>
  <w:style w:type="character" w:styleId="62">
    <w:name w:val="FollowedHyperlink"/>
    <w:uiPriority w:val="0"/>
    <w:rPr>
      <w:color w:val="800080"/>
      <w:u w:val="single"/>
    </w:rPr>
  </w:style>
  <w:style w:type="character" w:styleId="63">
    <w:name w:val="Emphasis"/>
    <w:qFormat/>
    <w:uiPriority w:val="0"/>
    <w:rPr>
      <w:i/>
    </w:rPr>
  </w:style>
  <w:style w:type="character" w:styleId="64">
    <w:name w:val="Hyperlink"/>
    <w:uiPriority w:val="99"/>
    <w:rPr>
      <w:color w:val="0000FF"/>
      <w:u w:val="single"/>
    </w:rPr>
  </w:style>
  <w:style w:type="character" w:styleId="65">
    <w:name w:val="annotation reference"/>
    <w:uiPriority w:val="0"/>
    <w:rPr>
      <w:sz w:val="21"/>
    </w:rPr>
  </w:style>
  <w:style w:type="character" w:styleId="66">
    <w:name w:val="footnote reference"/>
    <w:uiPriority w:val="0"/>
    <w:rPr>
      <w:position w:val="6"/>
      <w:sz w:val="14"/>
      <w:vertAlign w:val="superscript"/>
    </w:rPr>
  </w:style>
  <w:style w:type="character" w:customStyle="1" w:styleId="67">
    <w:name w:val="标题 2 Char"/>
    <w:link w:val="4"/>
    <w:uiPriority w:val="0"/>
    <w:rPr>
      <w:rFonts w:ascii="宋体" w:hAnsi="宋体"/>
      <w:kern w:val="2"/>
      <w:sz w:val="28"/>
    </w:rPr>
  </w:style>
  <w:style w:type="character" w:customStyle="1" w:styleId="68">
    <w:name w:val="批注文字 Char"/>
    <w:link w:val="20"/>
    <w:uiPriority w:val="0"/>
    <w:rPr>
      <w:rFonts w:eastAsia="PMingLiU"/>
      <w:sz w:val="24"/>
      <w:lang w:eastAsia="zh-TW"/>
    </w:rPr>
  </w:style>
  <w:style w:type="character" w:customStyle="1" w:styleId="69">
    <w:name w:val="日期 Char"/>
    <w:link w:val="32"/>
    <w:qFormat/>
    <w:uiPriority w:val="0"/>
    <w:rPr>
      <w:kern w:val="2"/>
      <w:sz w:val="28"/>
    </w:rPr>
  </w:style>
  <w:style w:type="character" w:customStyle="1" w:styleId="70">
    <w:name w:val=" Char Char7"/>
    <w:qFormat/>
    <w:uiPriority w:val="0"/>
    <w:rPr>
      <w:rFonts w:ascii="宋体" w:hAnsi="宋体" w:eastAsia="宋体"/>
      <w:kern w:val="2"/>
      <w:sz w:val="28"/>
    </w:rPr>
  </w:style>
  <w:style w:type="character" w:customStyle="1" w:styleId="71">
    <w:name w:val="标书正文:  0.74 厘米 Char1"/>
    <w:qFormat/>
    <w:uiPriority w:val="0"/>
    <w:rPr>
      <w:rFonts w:eastAsia="宋体"/>
      <w:kern w:val="2"/>
      <w:sz w:val="24"/>
      <w:lang w:val="en-US" w:eastAsia="zh-CN"/>
    </w:rPr>
  </w:style>
  <w:style w:type="character" w:customStyle="1" w:styleId="72">
    <w:name w:val="v151"/>
    <w:qFormat/>
    <w:uiPriority w:val="0"/>
    <w:rPr>
      <w:sz w:val="18"/>
    </w:rPr>
  </w:style>
  <w:style w:type="character" w:customStyle="1" w:styleId="73">
    <w:name w:val="样式 宋体"/>
    <w:qFormat/>
    <w:uiPriority w:val="0"/>
    <w:rPr>
      <w:rFonts w:ascii="宋体" w:hAnsi="宋体" w:eastAsia="宋体"/>
      <w:sz w:val="28"/>
    </w:rPr>
  </w:style>
  <w:style w:type="character" w:customStyle="1" w:styleId="74">
    <w:name w:val="top-det1"/>
    <w:qFormat/>
    <w:uiPriority w:val="0"/>
    <w:rPr>
      <w:b/>
      <w:color w:val="000000"/>
    </w:rPr>
  </w:style>
  <w:style w:type="character" w:customStyle="1" w:styleId="75">
    <w:name w:val=" Char Char6"/>
    <w:qFormat/>
    <w:uiPriority w:val="0"/>
    <w:rPr>
      <w:rFonts w:ascii="仿宋_GB2312" w:eastAsia="仿宋_GB2312"/>
      <w:kern w:val="2"/>
      <w:sz w:val="32"/>
    </w:rPr>
  </w:style>
  <w:style w:type="character" w:customStyle="1" w:styleId="76">
    <w:name w:val="content-white1"/>
    <w:qFormat/>
    <w:uiPriority w:val="0"/>
    <w:rPr>
      <w:rFonts w:ascii="_x000B__x000C_" w:hAnsi="_x000B__x000C_"/>
      <w:color w:val="auto"/>
      <w:sz w:val="18"/>
      <w:u w:val="none"/>
    </w:rPr>
  </w:style>
  <w:style w:type="character" w:customStyle="1" w:styleId="77">
    <w:name w:val="font1"/>
    <w:qFormat/>
    <w:uiPriority w:val="0"/>
    <w:rPr>
      <w:color w:val="000000"/>
      <w:sz w:val="18"/>
    </w:rPr>
  </w:style>
  <w:style w:type="character" w:customStyle="1" w:styleId="78">
    <w:name w:val="正文 + 三号 Char"/>
    <w:uiPriority w:val="0"/>
    <w:rPr>
      <w:rFonts w:eastAsia="宋体"/>
      <w:kern w:val="2"/>
      <w:sz w:val="21"/>
      <w:lang w:val="en-US" w:eastAsia="zh-CN"/>
    </w:rPr>
  </w:style>
  <w:style w:type="character" w:customStyle="1" w:styleId="79">
    <w:name w:val="Table Text Char Char Char Char"/>
    <w:qFormat/>
    <w:uiPriority w:val="0"/>
    <w:rPr>
      <w:rFonts w:ascii="Arial" w:hAnsi="Arial"/>
      <w:kern w:val="2"/>
      <w:sz w:val="18"/>
      <w:lang w:val="en-US" w:eastAsia="zh-CN" w:bidi="ar-SA"/>
    </w:rPr>
  </w:style>
  <w:style w:type="character" w:customStyle="1" w:styleId="80">
    <w:name w:val="Table Text Char1 Char"/>
    <w:qFormat/>
    <w:uiPriority w:val="0"/>
    <w:rPr>
      <w:rFonts w:ascii="Arial" w:hAnsi="Arial"/>
      <w:kern w:val="2"/>
      <w:sz w:val="18"/>
      <w:lang w:val="en-US" w:eastAsia="zh-CN" w:bidi="ar-SA"/>
    </w:rPr>
  </w:style>
  <w:style w:type="character" w:customStyle="1" w:styleId="81">
    <w:name w:val="未命名11"/>
    <w:qFormat/>
    <w:uiPriority w:val="0"/>
    <w:rPr>
      <w:color w:val="77FFFF"/>
      <w:sz w:val="24"/>
    </w:rPr>
  </w:style>
  <w:style w:type="character" w:customStyle="1" w:styleId="82">
    <w:name w:val=" Char Char4"/>
    <w:uiPriority w:val="0"/>
    <w:rPr>
      <w:rFonts w:eastAsia="宋体"/>
      <w:b/>
      <w:kern w:val="2"/>
      <w:sz w:val="21"/>
      <w:lang w:val="en-US" w:eastAsia="zh-CN"/>
    </w:rPr>
  </w:style>
  <w:style w:type="character" w:customStyle="1" w:styleId="83">
    <w:name w:val=" Char Char3"/>
    <w:qFormat/>
    <w:uiPriority w:val="0"/>
    <w:rPr>
      <w:rFonts w:eastAsia="宋体"/>
      <w:kern w:val="2"/>
      <w:sz w:val="18"/>
      <w:lang w:val="en-US" w:eastAsia="zh-CN"/>
    </w:rPr>
  </w:style>
  <w:style w:type="character" w:customStyle="1" w:styleId="84">
    <w:name w:val="Table Heading Char Char"/>
    <w:qFormat/>
    <w:uiPriority w:val="0"/>
    <w:rPr>
      <w:rFonts w:ascii="Arial" w:hAnsi="Arial" w:eastAsia="黑体"/>
      <w:kern w:val="2"/>
      <w:sz w:val="18"/>
      <w:lang w:val="en-US" w:eastAsia="zh-CN"/>
    </w:rPr>
  </w:style>
  <w:style w:type="character" w:customStyle="1" w:styleId="85">
    <w:name w:val="crowed11"/>
    <w:qFormat/>
    <w:uiPriority w:val="0"/>
    <w:rPr>
      <w:rFonts w:hint="default" w:ascii="_x000B__x000C_" w:hAnsi="_x000B__x000C_"/>
      <w:sz w:val="24"/>
    </w:rPr>
  </w:style>
  <w:style w:type="character" w:customStyle="1" w:styleId="86">
    <w:name w:val=" Char Char2"/>
    <w:qFormat/>
    <w:uiPriority w:val="0"/>
    <w:rPr>
      <w:rFonts w:eastAsia="宋体"/>
      <w:kern w:val="2"/>
      <w:sz w:val="18"/>
      <w:lang w:val="en-US" w:eastAsia="zh-CN"/>
    </w:rPr>
  </w:style>
  <w:style w:type="character" w:customStyle="1" w:styleId="87">
    <w:name w:val=" Char Char5"/>
    <w:qFormat/>
    <w:uiPriority w:val="0"/>
    <w:rPr>
      <w:rFonts w:ascii="Arial" w:hAnsi="Arial" w:eastAsia="宋体"/>
      <w:b/>
      <w:smallCaps/>
      <w:kern w:val="28"/>
      <w:sz w:val="36"/>
      <w:lang w:val="en-US" w:eastAsia="en-US"/>
    </w:rPr>
  </w:style>
  <w:style w:type="character" w:customStyle="1" w:styleId="88">
    <w:name w:val="Table Text Char"/>
    <w:qFormat/>
    <w:uiPriority w:val="0"/>
    <w:rPr>
      <w:rFonts w:ascii="Arial" w:hAnsi="Arial"/>
      <w:kern w:val="2"/>
      <w:sz w:val="18"/>
      <w:lang w:val="en-US" w:eastAsia="zh-CN" w:bidi="ar-SA"/>
    </w:rPr>
  </w:style>
  <w:style w:type="character" w:customStyle="1" w:styleId="89">
    <w:name w:val=" Char Char"/>
    <w:qFormat/>
    <w:uiPriority w:val="0"/>
    <w:rPr>
      <w:rFonts w:ascii="宋体" w:hAnsi="宋体" w:eastAsia="宋体"/>
      <w:kern w:val="2"/>
      <w:sz w:val="24"/>
      <w:lang w:val="en-US" w:eastAsia="zh-CN" w:bidi="ar-SA"/>
    </w:rPr>
  </w:style>
  <w:style w:type="character" w:customStyle="1" w:styleId="90">
    <w:name w:val="小 Char"/>
    <w:qFormat/>
    <w:uiPriority w:val="0"/>
    <w:rPr>
      <w:rFonts w:ascii="宋体" w:hAnsi="Courier New" w:eastAsia="宋体"/>
      <w:kern w:val="2"/>
      <w:sz w:val="21"/>
      <w:lang w:val="en-US" w:eastAsia="zh-CN" w:bidi="ar-SA"/>
    </w:rPr>
  </w:style>
  <w:style w:type="character" w:customStyle="1" w:styleId="91">
    <w:name w:val="文字 Char"/>
    <w:link w:val="92"/>
    <w:qFormat/>
    <w:uiPriority w:val="0"/>
    <w:rPr>
      <w:rFonts w:ascii="宋体" w:eastAsia="宋体"/>
      <w:kern w:val="2"/>
      <w:sz w:val="28"/>
      <w:lang w:val="en-US" w:eastAsia="zh-CN" w:bidi="ar-SA"/>
    </w:rPr>
  </w:style>
  <w:style w:type="paragraph" w:customStyle="1" w:styleId="92">
    <w:name w:val="文字"/>
    <w:basedOn w:val="1"/>
    <w:link w:val="91"/>
    <w:qFormat/>
    <w:uiPriority w:val="0"/>
    <w:pPr>
      <w:tabs>
        <w:tab w:val="left" w:pos="8520"/>
      </w:tabs>
      <w:spacing w:line="312" w:lineRule="auto"/>
      <w:ind w:right="-210" w:firstLine="556"/>
    </w:pPr>
    <w:rPr>
      <w:rFonts w:ascii="宋体"/>
    </w:rPr>
  </w:style>
  <w:style w:type="paragraph" w:customStyle="1" w:styleId="93">
    <w:name w:val="style1"/>
    <w:basedOn w:val="1"/>
    <w:qFormat/>
    <w:uiPriority w:val="0"/>
    <w:pPr>
      <w:widowControl/>
      <w:spacing w:before="100" w:beforeLines="0" w:beforeAutospacing="1" w:after="100" w:afterLines="0" w:afterAutospacing="1"/>
      <w:jc w:val="left"/>
    </w:pPr>
    <w:rPr>
      <w:rFonts w:ascii="宋体" w:hAnsi="宋体"/>
      <w:kern w:val="0"/>
      <w:sz w:val="21"/>
    </w:rPr>
  </w:style>
  <w:style w:type="paragraph" w:customStyle="1" w:styleId="94">
    <w:name w:val="bt"/>
    <w:basedOn w:val="1"/>
    <w:next w:val="2"/>
    <w:qFormat/>
    <w:uiPriority w:val="0"/>
    <w:pPr>
      <w:numPr>
        <w:ilvl w:val="0"/>
        <w:numId w:val="0"/>
      </w:numPr>
      <w:overflowPunct w:val="0"/>
      <w:autoSpaceDE w:val="0"/>
      <w:autoSpaceDN w:val="0"/>
      <w:adjustRightInd w:val="0"/>
      <w:snapToGrid w:val="0"/>
      <w:spacing w:before="100" w:beforeLines="0" w:beforeAutospacing="0" w:after="100" w:afterLines="0" w:afterAutospacing="0" w:line="240" w:lineRule="atLeast"/>
      <w:ind w:left="2880" w:hanging="360"/>
      <w:textAlignment w:val="baseline"/>
    </w:pPr>
    <w:rPr>
      <w:rFonts w:ascii="宋体"/>
      <w:kern w:val="0"/>
      <w:sz w:val="20"/>
    </w:rPr>
  </w:style>
  <w:style w:type="paragraph" w:customStyle="1" w:styleId="95">
    <w:name w:val="Char Char Char Char Char Char Char"/>
    <w:basedOn w:val="18"/>
    <w:qFormat/>
    <w:uiPriority w:val="0"/>
    <w:rPr>
      <w:rFonts w:ascii="宋体" w:hAnsi="Tahoma"/>
    </w:rPr>
  </w:style>
  <w:style w:type="paragraph" w:customStyle="1" w:styleId="96">
    <w:name w:val="正文（首行不缩进）"/>
    <w:basedOn w:val="1"/>
    <w:qFormat/>
    <w:uiPriority w:val="0"/>
    <w:pPr>
      <w:autoSpaceDE w:val="0"/>
      <w:autoSpaceDN w:val="0"/>
      <w:adjustRightInd w:val="0"/>
      <w:spacing w:line="360" w:lineRule="auto"/>
      <w:jc w:val="left"/>
    </w:pPr>
    <w:rPr>
      <w:kern w:val="0"/>
      <w:sz w:val="21"/>
    </w:rPr>
  </w:style>
  <w:style w:type="paragraph" w:customStyle="1" w:styleId="97">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beforeLines="0" w:beforeAutospacing="0" w:after="240" w:afterLines="0" w:afterAutospacing="0" w:line="288" w:lineRule="auto"/>
      <w:ind w:left="144" w:right="144"/>
      <w:jc w:val="center"/>
    </w:pPr>
    <w:rPr>
      <w:b/>
      <w:i/>
      <w:sz w:val="24"/>
    </w:rPr>
  </w:style>
  <w:style w:type="paragraph" w:customStyle="1" w:styleId="98">
    <w:name w:val="表文字"/>
    <w:qFormat/>
    <w:uiPriority w:val="0"/>
    <w:rPr>
      <w:rFonts w:ascii="宋体" w:hAnsi="Times New Roman" w:eastAsia="宋体" w:cs="Times New Roman"/>
      <w:kern w:val="2"/>
      <w:lang w:val="en-US" w:eastAsia="zh-CN" w:bidi="ar-SA"/>
    </w:rPr>
  </w:style>
  <w:style w:type="paragraph" w:customStyle="1" w:styleId="99">
    <w:name w:val=" Char Char1 Char"/>
    <w:basedOn w:val="1"/>
    <w:qFormat/>
    <w:uiPriority w:val="0"/>
    <w:rPr>
      <w:rFonts w:ascii="Tahoma" w:hAnsi="Tahoma"/>
      <w:sz w:val="24"/>
      <w:szCs w:val="24"/>
    </w:rPr>
  </w:style>
  <w:style w:type="paragraph" w:customStyle="1" w:styleId="100">
    <w:name w:val="1"/>
    <w:basedOn w:val="1"/>
    <w:qFormat/>
    <w:uiPriority w:val="0"/>
    <w:rPr>
      <w:rFonts w:ascii="Tahoma" w:hAnsi="Tahoma"/>
      <w:sz w:val="24"/>
    </w:rPr>
  </w:style>
  <w:style w:type="paragraph" w:customStyle="1" w:styleId="101">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02">
    <w:name w:val="表格内文字"/>
    <w:basedOn w:val="30"/>
    <w:qFormat/>
    <w:uiPriority w:val="0"/>
    <w:pPr>
      <w:snapToGrid/>
      <w:spacing w:line="240" w:lineRule="auto"/>
    </w:pPr>
    <w:rPr>
      <w:color w:val="000000"/>
      <w:lang w:val="en-GB"/>
    </w:rPr>
  </w:style>
  <w:style w:type="paragraph" w:customStyle="1" w:styleId="103">
    <w:name w:val=" Char Char Char Char Char Char Char"/>
    <w:basedOn w:val="1"/>
    <w:qFormat/>
    <w:uiPriority w:val="0"/>
    <w:pPr>
      <w:widowControl/>
      <w:spacing w:after="160" w:afterLines="0" w:line="240" w:lineRule="exact"/>
      <w:jc w:val="left"/>
    </w:pPr>
    <w:rPr>
      <w:rFonts w:ascii="Verdana" w:hAnsi="Verdana" w:eastAsia="仿宋_GB2312"/>
      <w:kern w:val="0"/>
      <w:sz w:val="24"/>
      <w:lang w:eastAsia="en-US"/>
    </w:rPr>
  </w:style>
  <w:style w:type="paragraph" w:customStyle="1" w:styleId="104">
    <w:name w:val="默认段落字体 Para Char Char Char Char Char Char Char Char Char1 Char Char Char Char"/>
    <w:basedOn w:val="1"/>
    <w:qFormat/>
    <w:uiPriority w:val="0"/>
    <w:rPr>
      <w:rFonts w:ascii="Tahoma" w:hAnsi="Tahoma"/>
      <w:sz w:val="24"/>
    </w:rPr>
  </w:style>
  <w:style w:type="paragraph" w:customStyle="1" w:styleId="105">
    <w:name w:val="tabletext"/>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06">
    <w:name w:val="Char Char Char Char"/>
    <w:basedOn w:val="1"/>
    <w:qFormat/>
    <w:uiPriority w:val="0"/>
    <w:pPr>
      <w:pageBreakBefore/>
      <w:widowControl/>
      <w:spacing w:after="160" w:afterLines="0" w:line="240" w:lineRule="exact"/>
      <w:jc w:val="left"/>
    </w:pPr>
    <w:rPr>
      <w:rFonts w:ascii="Verdana" w:hAnsi="Verdana"/>
      <w:kern w:val="0"/>
      <w:sz w:val="20"/>
      <w:lang w:eastAsia="en-US"/>
    </w:rPr>
  </w:style>
  <w:style w:type="paragraph" w:customStyle="1" w:styleId="107">
    <w:name w:val="Char Char1 Char Char Char Char Char Char Char Char"/>
    <w:basedOn w:val="1"/>
    <w:qFormat/>
    <w:uiPriority w:val="0"/>
    <w:pPr>
      <w:widowControl/>
      <w:spacing w:after="160" w:afterLines="0" w:line="240" w:lineRule="exact"/>
      <w:jc w:val="left"/>
    </w:pPr>
    <w:rPr>
      <w:rFonts w:ascii="Verdana" w:hAnsi="Verdana"/>
      <w:kern w:val="0"/>
      <w:sz w:val="20"/>
      <w:lang w:eastAsia="en-US"/>
    </w:rPr>
  </w:style>
  <w:style w:type="paragraph" w:customStyle="1" w:styleId="108">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09">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10">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11">
    <w:name w:val="关键词"/>
    <w:basedOn w:val="1"/>
    <w:next w:val="1"/>
    <w:qFormat/>
    <w:uiPriority w:val="0"/>
    <w:pPr>
      <w:spacing w:line="360" w:lineRule="auto"/>
    </w:pPr>
    <w:rPr>
      <w:rFonts w:eastAsia="黑体"/>
      <w:sz w:val="20"/>
    </w:rPr>
  </w:style>
  <w:style w:type="paragraph" w:customStyle="1" w:styleId="112">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13">
    <w:name w:val="没有缩进（为图形使用）"/>
    <w:basedOn w:val="1"/>
    <w:qFormat/>
    <w:uiPriority w:val="0"/>
    <w:pPr>
      <w:spacing w:before="120" w:beforeLines="0" w:beforeAutospacing="0" w:after="120" w:afterLines="0" w:afterAutospacing="0" w:line="360" w:lineRule="auto"/>
    </w:pPr>
    <w:rPr>
      <w:sz w:val="24"/>
    </w:rPr>
  </w:style>
  <w:style w:type="paragraph" w:customStyle="1" w:styleId="114">
    <w:name w:val="Body Text Indent 2"/>
    <w:basedOn w:val="1"/>
    <w:qFormat/>
    <w:uiPriority w:val="0"/>
    <w:pPr>
      <w:adjustRightInd w:val="0"/>
      <w:spacing w:before="120" w:beforeLines="0" w:beforeAutospacing="0"/>
      <w:ind w:firstLine="420"/>
      <w:textAlignment w:val="baseline"/>
    </w:pPr>
    <w:rPr>
      <w:sz w:val="24"/>
    </w:rPr>
  </w:style>
  <w:style w:type="paragraph" w:customStyle="1" w:styleId="115">
    <w:name w:val="Item Step in Table"/>
    <w:qFormat/>
    <w:uiPriority w:val="0"/>
    <w:pPr>
      <w:numPr>
        <w:ilvl w:val="0"/>
        <w:numId w:val="7"/>
      </w:numPr>
      <w:spacing w:before="40" w:after="40"/>
      <w:jc w:val="both"/>
    </w:pPr>
    <w:rPr>
      <w:rFonts w:ascii="Arial" w:hAnsi="Arial" w:eastAsia="宋体" w:cs="Times New Roman"/>
      <w:sz w:val="18"/>
      <w:lang w:val="en-US" w:eastAsia="zh-CN" w:bidi="ar-SA"/>
    </w:rPr>
  </w:style>
  <w:style w:type="paragraph" w:customStyle="1" w:styleId="116">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7">
    <w:name w:val="样式2"/>
    <w:basedOn w:val="6"/>
    <w:qFormat/>
    <w:uiPriority w:val="0"/>
    <w:pPr>
      <w:numPr>
        <w:ilvl w:val="0"/>
        <w:numId w:val="8"/>
      </w:numPr>
      <w:spacing w:line="400" w:lineRule="exact"/>
      <w:jc w:val="center"/>
      <w:outlineLvl w:val="0"/>
    </w:pPr>
    <w:rPr>
      <w:b w:val="0"/>
      <w:sz w:val="44"/>
    </w:rPr>
  </w:style>
  <w:style w:type="paragraph" w:customStyle="1" w:styleId="118">
    <w:name w:val="xl23"/>
    <w:basedOn w:val="1"/>
    <w:qFormat/>
    <w:uiPriority w:val="0"/>
    <w:pPr>
      <w:widowControl/>
      <w:spacing w:before="100" w:beforeLines="0" w:beforeAutospacing="1" w:after="100" w:afterLines="0" w:afterAutospacing="1" w:line="360" w:lineRule="auto"/>
      <w:textAlignment w:val="top"/>
    </w:pPr>
    <w:rPr>
      <w:kern w:val="0"/>
      <w:sz w:val="24"/>
    </w:rPr>
  </w:style>
  <w:style w:type="paragraph" w:customStyle="1" w:styleId="119">
    <w:name w:val=" Char Char Char"/>
    <w:basedOn w:val="1"/>
    <w:qFormat/>
    <w:uiPriority w:val="0"/>
    <w:rPr>
      <w:rFonts w:ascii="Tahoma" w:hAnsi="Tahoma"/>
      <w:sz w:val="24"/>
    </w:rPr>
  </w:style>
  <w:style w:type="paragraph" w:customStyle="1" w:styleId="120">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21">
    <w:name w:val="默认段落字体 Para Char Char Char Char Char Char Char"/>
    <w:basedOn w:val="1"/>
    <w:qFormat/>
    <w:uiPriority w:val="0"/>
    <w:rPr>
      <w:rFonts w:ascii="Tahoma" w:hAnsi="Tahoma"/>
      <w:sz w:val="24"/>
    </w:rPr>
  </w:style>
  <w:style w:type="paragraph" w:customStyle="1" w:styleId="122">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2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24">
    <w:name w:val="表头样式"/>
    <w:basedOn w:val="1"/>
    <w:qFormat/>
    <w:uiPriority w:val="0"/>
    <w:pPr>
      <w:autoSpaceDE w:val="0"/>
      <w:autoSpaceDN w:val="0"/>
      <w:adjustRightInd w:val="0"/>
      <w:spacing w:line="360" w:lineRule="auto"/>
      <w:jc w:val="left"/>
    </w:pPr>
    <w:rPr>
      <w:b/>
      <w:kern w:val="0"/>
      <w:sz w:val="21"/>
    </w:rPr>
  </w:style>
  <w:style w:type="paragraph" w:customStyle="1" w:styleId="125">
    <w:name w:val="普通正文"/>
    <w:basedOn w:val="1"/>
    <w:qFormat/>
    <w:uiPriority w:val="0"/>
    <w:pPr>
      <w:adjustRightInd w:val="0"/>
      <w:spacing w:before="120" w:beforeLines="0" w:beforeAutospacing="0" w:after="120" w:afterLines="0" w:afterAutospacing="0" w:line="360" w:lineRule="auto"/>
      <w:ind w:firstLine="480"/>
      <w:jc w:val="left"/>
      <w:textAlignment w:val="baseline"/>
    </w:pPr>
    <w:rPr>
      <w:rFonts w:ascii="Arial" w:hAnsi="Arial"/>
      <w:kern w:val="0"/>
      <w:sz w:val="24"/>
    </w:rPr>
  </w:style>
  <w:style w:type="paragraph" w:customStyle="1" w:styleId="126">
    <w:name w:val="正文字缩2字"/>
    <w:basedOn w:val="1"/>
    <w:qFormat/>
    <w:uiPriority w:val="0"/>
    <w:pPr>
      <w:spacing w:before="60" w:beforeLines="0" w:beforeAutospacing="0" w:after="60" w:afterLines="0" w:afterAutospacing="0" w:line="360" w:lineRule="auto"/>
      <w:ind w:left="200" w:leftChars="200" w:firstLine="200" w:firstLineChars="200"/>
    </w:pPr>
    <w:rPr>
      <w:sz w:val="24"/>
    </w:rPr>
  </w:style>
  <w:style w:type="paragraph" w:customStyle="1" w:styleId="127">
    <w:name w:val="图标"/>
    <w:basedOn w:val="1"/>
    <w:next w:val="1"/>
    <w:qFormat/>
    <w:uiPriority w:val="0"/>
    <w:pPr>
      <w:tabs>
        <w:tab w:val="left" w:pos="420"/>
        <w:tab w:val="left" w:pos="567"/>
        <w:tab w:val="left" w:pos="720"/>
      </w:tabs>
      <w:autoSpaceDE w:val="0"/>
      <w:autoSpaceDN w:val="0"/>
      <w:adjustRightInd w:val="0"/>
      <w:snapToGrid w:val="0"/>
      <w:spacing w:before="120" w:beforeLines="0" w:beforeAutospacing="0" w:after="120" w:afterLines="0" w:afterAutospacing="0" w:line="320" w:lineRule="atLeast"/>
      <w:ind w:left="420" w:hanging="420"/>
      <w:jc w:val="center"/>
      <w:textAlignment w:val="baseline"/>
    </w:pPr>
    <w:rPr>
      <w:rFonts w:eastAsia="仿宋_GB2312"/>
      <w:kern w:val="0"/>
      <w:sz w:val="24"/>
    </w:rPr>
  </w:style>
  <w:style w:type="paragraph" w:customStyle="1" w:styleId="128">
    <w:name w:val="章标题"/>
    <w:next w:val="1"/>
    <w:qFormat/>
    <w:uiPriority w:val="0"/>
    <w:pPr>
      <w:numPr>
        <w:ilvl w:val="1"/>
        <w:numId w:val="9"/>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29">
    <w:name w:val="样式 标题 6第五层条 + 三号 段前: 0.5 行"/>
    <w:basedOn w:val="8"/>
    <w:qFormat/>
    <w:uiPriority w:val="0"/>
    <w:pPr>
      <w:widowControl/>
      <w:numPr>
        <w:ilvl w:val="5"/>
        <w:numId w:val="0"/>
      </w:numPr>
      <w:adjustRightInd/>
      <w:snapToGrid/>
      <w:spacing w:before="156" w:beforeLines="50" w:beforeAutospacing="0"/>
      <w:ind w:left="1152" w:hanging="1152"/>
      <w:jc w:val="left"/>
    </w:pPr>
    <w:rPr>
      <w:snapToGrid w:val="0"/>
      <w:kern w:val="24"/>
      <w:sz w:val="28"/>
    </w:rPr>
  </w:style>
  <w:style w:type="paragraph" w:customStyle="1" w:styleId="130">
    <w:name w:val="Title - Date"/>
    <w:basedOn w:val="53"/>
    <w:next w:val="1"/>
    <w:qFormat/>
    <w:uiPriority w:val="0"/>
    <w:pPr>
      <w:spacing w:before="240" w:beforeLines="0" w:beforeAutospacing="0" w:after="720" w:afterLines="0" w:afterAutospacing="0"/>
    </w:pPr>
    <w:rPr>
      <w:sz w:val="28"/>
    </w:rPr>
  </w:style>
  <w:style w:type="paragraph" w:customStyle="1" w:styleId="131">
    <w:name w:val="样式 宋体 五号 行距: 单倍行距"/>
    <w:basedOn w:val="1"/>
    <w:qFormat/>
    <w:uiPriority w:val="0"/>
    <w:pPr>
      <w:adjustRightInd w:val="0"/>
      <w:jc w:val="left"/>
    </w:pPr>
    <w:rPr>
      <w:rFonts w:ascii="宋体" w:hAnsi="宋体"/>
      <w:kern w:val="0"/>
      <w:sz w:val="21"/>
    </w:rPr>
  </w:style>
  <w:style w:type="paragraph" w:customStyle="1" w:styleId="132">
    <w:name w:val="文章正文"/>
    <w:basedOn w:val="1"/>
    <w:qFormat/>
    <w:uiPriority w:val="0"/>
    <w:pPr>
      <w:ind w:firstLine="560" w:firstLineChars="200"/>
    </w:pPr>
    <w:rPr>
      <w:rFonts w:ascii="仿宋_GB2312" w:hAnsi="宋体" w:eastAsia="仿宋_GB2312"/>
      <w:color w:val="000000"/>
    </w:rPr>
  </w:style>
  <w:style w:type="paragraph" w:customStyle="1" w:styleId="133">
    <w:name w:val="操作步骤"/>
    <w:basedOn w:val="1"/>
    <w:qFormat/>
    <w:uiPriority w:val="0"/>
    <w:pPr>
      <w:numPr>
        <w:ilvl w:val="0"/>
        <w:numId w:val="10"/>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34">
    <w:name w:val="xl27"/>
    <w:basedOn w:val="1"/>
    <w:qFormat/>
    <w:uiPriority w:val="0"/>
    <w:pPr>
      <w:widowControl/>
      <w:pBdr>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1"/>
    </w:rPr>
  </w:style>
  <w:style w:type="paragraph" w:customStyle="1" w:styleId="135">
    <w:name w:val="Title - Revision"/>
    <w:basedOn w:val="53"/>
    <w:qFormat/>
    <w:uiPriority w:val="0"/>
    <w:pPr>
      <w:spacing w:before="720" w:beforeLines="0" w:beforeAutospacing="0"/>
    </w:pPr>
  </w:style>
  <w:style w:type="paragraph" w:customStyle="1" w:styleId="136">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37">
    <w:name w:val="xl53"/>
    <w:basedOn w:val="1"/>
    <w:qFormat/>
    <w:uiPriority w:val="0"/>
    <w:pPr>
      <w:widowControl/>
      <w:pBdr>
        <w:left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138">
    <w:name w:val=" Char1 Char Char Char"/>
    <w:basedOn w:val="1"/>
    <w:qFormat/>
    <w:uiPriority w:val="0"/>
    <w:rPr>
      <w:rFonts w:ascii="Tahoma" w:hAnsi="Tahoma"/>
      <w:sz w:val="24"/>
    </w:rPr>
  </w:style>
  <w:style w:type="paragraph" w:customStyle="1" w:styleId="139">
    <w:name w:val=" Char Char 字元 字元 字元 Char Char Char Char"/>
    <w:basedOn w:val="1"/>
    <w:qFormat/>
    <w:uiPriority w:val="0"/>
    <w:pPr>
      <w:adjustRightInd w:val="0"/>
      <w:spacing w:line="360" w:lineRule="auto"/>
    </w:pPr>
    <w:rPr>
      <w:kern w:val="0"/>
      <w:sz w:val="24"/>
    </w:rPr>
  </w:style>
  <w:style w:type="paragraph" w:customStyle="1" w:styleId="140">
    <w:name w:val="项目"/>
    <w:basedOn w:val="1"/>
    <w:qFormat/>
    <w:uiPriority w:val="0"/>
    <w:pPr>
      <w:tabs>
        <w:tab w:val="left" w:pos="1280"/>
      </w:tabs>
      <w:spacing w:before="120" w:beforeLines="0" w:beforeAutospacing="0" w:after="120" w:afterLines="0" w:afterAutospacing="0" w:line="360" w:lineRule="auto"/>
      <w:ind w:left="-7" w:firstLine="567"/>
      <w:jc w:val="left"/>
      <w:textAlignment w:val="baseline"/>
    </w:pPr>
    <w:rPr>
      <w:rFonts w:ascii="宋体"/>
      <w:kern w:val="0"/>
      <w:sz w:val="24"/>
    </w:rPr>
  </w:style>
  <w:style w:type="paragraph" w:customStyle="1" w:styleId="14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42">
    <w:name w:val="标题2"/>
    <w:basedOn w:val="4"/>
    <w:qFormat/>
    <w:uiPriority w:val="0"/>
    <w:pPr>
      <w:keepNext w:val="0"/>
      <w:keepLines w:val="0"/>
      <w:snapToGrid w:val="0"/>
      <w:spacing w:before="0" w:beforeLines="0" w:beforeAutospacing="0" w:after="0" w:afterLines="0" w:afterAutospacing="0"/>
      <w:ind w:firstLine="574" w:firstLineChars="196"/>
      <w:outlineLvl w:val="9"/>
    </w:pPr>
    <w:rPr>
      <w:b/>
      <w:spacing w:val="6"/>
      <w:u w:val="single"/>
    </w:rPr>
  </w:style>
  <w:style w:type="paragraph" w:customStyle="1" w:styleId="143">
    <w:name w:val="简单回函地址"/>
    <w:basedOn w:val="1"/>
    <w:qFormat/>
    <w:uiPriority w:val="0"/>
    <w:pPr>
      <w:adjustRightInd w:val="0"/>
      <w:snapToGrid w:val="0"/>
      <w:spacing w:line="360" w:lineRule="auto"/>
    </w:pPr>
    <w:rPr>
      <w:sz w:val="24"/>
    </w:rPr>
  </w:style>
  <w:style w:type="paragraph" w:customStyle="1" w:styleId="144">
    <w:name w:val="样式 正文首行缩进 2 + 首行缩进:  2 字符"/>
    <w:basedOn w:val="1"/>
    <w:qFormat/>
    <w:uiPriority w:val="0"/>
    <w:pPr>
      <w:numPr>
        <w:ilvl w:val="0"/>
        <w:numId w:val="11"/>
      </w:numPr>
      <w:adjustRightInd w:val="0"/>
      <w:snapToGrid w:val="0"/>
      <w:spacing w:line="360" w:lineRule="auto"/>
    </w:pPr>
    <w:rPr>
      <w:rFonts w:ascii="Arial" w:hAnsi="Arial"/>
      <w:b/>
      <w:sz w:val="24"/>
    </w:rPr>
  </w:style>
  <w:style w:type="paragraph" w:customStyle="1" w:styleId="145">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46">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47">
    <w:name w:val="表头文本"/>
    <w:qFormat/>
    <w:uiPriority w:val="0"/>
    <w:pPr>
      <w:jc w:val="center"/>
    </w:pPr>
    <w:rPr>
      <w:rFonts w:ascii="Arial" w:hAnsi="Arial" w:eastAsia="宋体" w:cs="Times New Roman"/>
      <w:b/>
      <w:sz w:val="21"/>
      <w:lang w:val="en-US" w:eastAsia="zh-CN" w:bidi="ar-SA"/>
    </w:rPr>
  </w:style>
  <w:style w:type="paragraph" w:customStyle="1" w:styleId="148">
    <w:name w:val=" Char"/>
    <w:basedOn w:val="1"/>
    <w:qFormat/>
    <w:uiPriority w:val="0"/>
    <w:pPr>
      <w:spacing w:line="240" w:lineRule="atLeast"/>
      <w:ind w:left="420" w:firstLine="420"/>
    </w:pPr>
    <w:rPr>
      <w:kern w:val="0"/>
      <w:sz w:val="21"/>
    </w:rPr>
  </w:style>
  <w:style w:type="paragraph" w:customStyle="1" w:styleId="149">
    <w:name w:val="标准正文"/>
    <w:basedOn w:val="23"/>
    <w:qFormat/>
    <w:uiPriority w:val="0"/>
    <w:pPr>
      <w:spacing w:before="60" w:beforeLines="0" w:beforeAutospacing="0" w:after="60" w:afterLines="0" w:afterAutospacing="0" w:line="360" w:lineRule="auto"/>
      <w:ind w:left="0" w:firstLine="482"/>
    </w:pPr>
    <w:rPr>
      <w:rFonts w:ascii="Arial" w:hAnsi="Arial"/>
      <w:sz w:val="24"/>
    </w:rPr>
  </w:style>
  <w:style w:type="paragraph" w:customStyle="1" w:styleId="150">
    <w:name w:val="Table Contents"/>
    <w:basedOn w:val="2"/>
    <w:uiPriority w:val="0"/>
    <w:pPr>
      <w:suppressAutoHyphens/>
      <w:jc w:val="left"/>
    </w:pPr>
    <w:rPr>
      <w:rFonts w:ascii="Times New Roman" w:eastAsia="Times New Roman"/>
      <w:kern w:val="0"/>
      <w:sz w:val="24"/>
    </w:rPr>
  </w:style>
  <w:style w:type="paragraph" w:customStyle="1" w:styleId="151">
    <w:name w:val="可研正文"/>
    <w:basedOn w:val="2"/>
    <w:qFormat/>
    <w:uiPriority w:val="0"/>
    <w:pPr>
      <w:adjustRightInd w:val="0"/>
      <w:snapToGrid w:val="0"/>
      <w:spacing w:line="440" w:lineRule="exact"/>
      <w:ind w:firstLine="567"/>
    </w:pPr>
    <w:rPr>
      <w:sz w:val="28"/>
    </w:rPr>
  </w:style>
  <w:style w:type="paragraph" w:customStyle="1" w:styleId="152">
    <w:name w:val="样式1xz"/>
    <w:basedOn w:val="1"/>
    <w:qFormat/>
    <w:uiPriority w:val="0"/>
    <w:pPr>
      <w:tabs>
        <w:tab w:val="left" w:pos="1050"/>
        <w:tab w:val="right" w:leader="dot" w:pos="8296"/>
      </w:tabs>
    </w:pPr>
    <w:rPr>
      <w:caps/>
      <w:spacing w:val="20"/>
      <w:sz w:val="24"/>
    </w:rPr>
  </w:style>
  <w:style w:type="paragraph" w:customStyle="1" w:styleId="153">
    <w:name w:val="Char1 Char Char Char"/>
    <w:basedOn w:val="1"/>
    <w:qFormat/>
    <w:uiPriority w:val="0"/>
    <w:rPr>
      <w:rFonts w:ascii="Tahoma" w:hAnsi="Tahoma"/>
      <w:sz w:val="21"/>
    </w:rPr>
  </w:style>
  <w:style w:type="paragraph" w:customStyle="1" w:styleId="154">
    <w:name w:val=" Char Char1"/>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55">
    <w:name w:val="表号"/>
    <w:basedOn w:val="1"/>
    <w:qFormat/>
    <w:uiPriority w:val="0"/>
    <w:pPr>
      <w:numPr>
        <w:ilvl w:val="0"/>
        <w:numId w:val="12"/>
      </w:numPr>
      <w:tabs>
        <w:tab w:val="left" w:pos="648"/>
        <w:tab w:val="clear" w:pos="360"/>
      </w:tabs>
      <w:autoSpaceDE w:val="0"/>
      <w:autoSpaceDN w:val="0"/>
      <w:adjustRightInd w:val="0"/>
      <w:spacing w:before="210" w:beforeLines="0" w:after="210" w:afterLines="0"/>
      <w:ind w:left="425" w:hanging="137"/>
      <w:jc w:val="center"/>
    </w:pPr>
    <w:rPr>
      <w:kern w:val="0"/>
      <w:sz w:val="21"/>
      <w:lang w:eastAsia="en-US"/>
    </w:rPr>
  </w:style>
  <w:style w:type="paragraph" w:customStyle="1" w:styleId="156">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57">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8">
    <w:name w:val="首行缩进"/>
    <w:basedOn w:val="1"/>
    <w:qFormat/>
    <w:uiPriority w:val="0"/>
    <w:pPr>
      <w:spacing w:line="360" w:lineRule="auto"/>
      <w:ind w:firstLine="420" w:firstLineChars="200"/>
    </w:pPr>
    <w:rPr>
      <w:sz w:val="21"/>
    </w:rPr>
  </w:style>
  <w:style w:type="paragraph" w:customStyle="1" w:styleId="159">
    <w:name w:val="样式1"/>
    <w:basedOn w:val="6"/>
    <w:qFormat/>
    <w:uiPriority w:val="0"/>
    <w:pPr>
      <w:spacing w:before="500" w:beforeLines="0" w:after="260" w:afterLines="0" w:line="560" w:lineRule="atLeast"/>
    </w:pPr>
  </w:style>
  <w:style w:type="paragraph" w:customStyle="1" w:styleId="160">
    <w:name w:val="样式3"/>
    <w:basedOn w:val="3"/>
    <w:next w:val="3"/>
    <w:qFormat/>
    <w:uiPriority w:val="0"/>
    <w:pPr>
      <w:keepLines/>
      <w:tabs>
        <w:tab w:val="clear" w:pos="3360"/>
      </w:tabs>
      <w:adjustRightInd w:val="0"/>
      <w:spacing w:before="340" w:beforeLines="0" w:beforeAutospacing="0" w:after="330" w:afterLines="0" w:afterAutospacing="0" w:line="576" w:lineRule="auto"/>
      <w:jc w:val="both"/>
    </w:pPr>
    <w:rPr>
      <w:b/>
      <w:kern w:val="44"/>
    </w:rPr>
  </w:style>
  <w:style w:type="paragraph" w:customStyle="1" w:styleId="161">
    <w:name w:val="样式 样式 正文首行缩进 2 + 左  0 字符 + 首行缩进:  2.57 字符"/>
    <w:basedOn w:val="1"/>
    <w:next w:val="1"/>
    <w:qFormat/>
    <w:uiPriority w:val="0"/>
    <w:pPr>
      <w:adjustRightInd w:val="0"/>
      <w:snapToGrid w:val="0"/>
      <w:spacing w:after="120" w:afterLines="0" w:afterAutospacing="0"/>
      <w:ind w:firstLine="540" w:firstLineChars="257"/>
    </w:pPr>
    <w:rPr>
      <w:sz w:val="21"/>
    </w:rPr>
  </w:style>
  <w:style w:type="paragraph" w:customStyle="1" w:styleId="162">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63">
    <w:name w:val="正文表格"/>
    <w:basedOn w:val="1"/>
    <w:qFormat/>
    <w:uiPriority w:val="0"/>
    <w:pPr>
      <w:adjustRightInd w:val="0"/>
      <w:spacing w:before="40" w:beforeLines="0" w:beforeAutospacing="0" w:after="40" w:afterLines="0" w:afterAutospacing="0"/>
    </w:pPr>
    <w:rPr>
      <w:sz w:val="24"/>
    </w:rPr>
  </w:style>
  <w:style w:type="paragraph" w:customStyle="1" w:styleId="164">
    <w:name w:val=" Char Char Char Char Char Char1 Char"/>
    <w:basedOn w:val="1"/>
    <w:qFormat/>
    <w:uiPriority w:val="0"/>
    <w:pPr>
      <w:widowControl/>
      <w:spacing w:after="160" w:afterLines="0" w:afterAutospacing="0" w:line="240" w:lineRule="exact"/>
      <w:jc w:val="left"/>
    </w:pPr>
    <w:rPr>
      <w:rFonts w:ascii="Verdana" w:hAnsi="Verdana"/>
      <w:kern w:val="0"/>
      <w:sz w:val="21"/>
      <w:lang w:eastAsia="en-US"/>
    </w:rPr>
  </w:style>
  <w:style w:type="paragraph" w:customStyle="1" w:styleId="165">
    <w:name w:val="标题3——2"/>
    <w:basedOn w:val="5"/>
    <w:next w:val="55"/>
    <w:qFormat/>
    <w:uiPriority w:val="0"/>
    <w:pPr>
      <w:tabs>
        <w:tab w:val="left" w:pos="1280"/>
        <w:tab w:val="right" w:leader="dot" w:pos="8777"/>
      </w:tabs>
      <w:spacing w:before="312" w:beforeLines="100" w:beforeAutospacing="0" w:after="0" w:afterLines="0" w:afterAutospacing="0" w:line="240" w:lineRule="auto"/>
      <w:ind w:left="851" w:hanging="851"/>
      <w:jc w:val="both"/>
      <w:outlineLvl w:val="9"/>
    </w:pPr>
    <w:rPr>
      <w:rFonts w:ascii="黑体" w:hAnsi="宋体" w:eastAsia="黑体"/>
      <w:sz w:val="30"/>
    </w:rPr>
  </w:style>
  <w:style w:type="paragraph" w:customStyle="1" w:styleId="166">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67">
    <w:name w:val="IN Step"/>
    <w:basedOn w:val="1"/>
    <w:qFormat/>
    <w:uiPriority w:val="0"/>
    <w:pPr>
      <w:keepLines/>
      <w:widowControl/>
      <w:tabs>
        <w:tab w:val="left" w:pos="1134"/>
      </w:tabs>
      <w:spacing w:before="80" w:beforeLines="0" w:beforeAutospacing="0" w:after="80" w:afterLines="0" w:afterAutospacing="0" w:line="300" w:lineRule="auto"/>
      <w:ind w:left="1134" w:hanging="907"/>
      <w:outlineLvl w:val="8"/>
    </w:pPr>
    <w:rPr>
      <w:rFonts w:ascii="Arial" w:hAnsi="Arial"/>
      <w:kern w:val="0"/>
      <w:sz w:val="21"/>
    </w:rPr>
  </w:style>
  <w:style w:type="paragraph" w:customStyle="1" w:styleId="168">
    <w:name w:val=" Char Char Char Char Char"/>
    <w:basedOn w:val="1"/>
    <w:qFormat/>
    <w:uiPriority w:val="0"/>
    <w:pPr>
      <w:numPr>
        <w:ilvl w:val="0"/>
        <w:numId w:val="13"/>
      </w:numPr>
    </w:pPr>
    <w:rPr>
      <w:rFonts w:ascii="Tahoma" w:hAnsi="Tahoma"/>
      <w:sz w:val="24"/>
    </w:rPr>
  </w:style>
  <w:style w:type="paragraph" w:customStyle="1" w:styleId="169">
    <w:name w:val="标题无"/>
    <w:basedOn w:val="1"/>
    <w:qFormat/>
    <w:uiPriority w:val="0"/>
    <w:pPr>
      <w:spacing w:line="360" w:lineRule="auto"/>
    </w:pPr>
    <w:rPr>
      <w:sz w:val="24"/>
    </w:rPr>
  </w:style>
  <w:style w:type="paragraph" w:customStyle="1" w:styleId="170">
    <w:name w:val="样式4"/>
    <w:basedOn w:val="6"/>
    <w:qFormat/>
    <w:uiPriority w:val="0"/>
    <w:pPr>
      <w:numPr>
        <w:ilvl w:val="0"/>
        <w:numId w:val="0"/>
      </w:numPr>
      <w:adjustRightInd w:val="0"/>
      <w:snapToGrid w:val="0"/>
      <w:spacing w:before="280" w:beforeLines="0" w:beforeAutospacing="0" w:line="372" w:lineRule="auto"/>
    </w:pPr>
  </w:style>
  <w:style w:type="paragraph" w:customStyle="1" w:styleId="171">
    <w:name w:val="Note"/>
    <w:basedOn w:val="1"/>
    <w:qFormat/>
    <w:uiPriority w:val="0"/>
    <w:pPr>
      <w:pBdr>
        <w:top w:val="single" w:color="auto" w:sz="12" w:space="3"/>
        <w:bottom w:val="single" w:color="auto" w:sz="12" w:space="3"/>
      </w:pBdr>
      <w:spacing w:line="360" w:lineRule="auto"/>
    </w:pPr>
    <w:rPr>
      <w:sz w:val="24"/>
    </w:rPr>
  </w:style>
  <w:style w:type="paragraph" w:customStyle="1" w:styleId="172">
    <w:name w:val="摘要"/>
    <w:basedOn w:val="1"/>
    <w:next w:val="4"/>
    <w:qFormat/>
    <w:uiPriority w:val="0"/>
    <w:pPr>
      <w:spacing w:line="360" w:lineRule="auto"/>
    </w:pPr>
    <w:rPr>
      <w:rFonts w:eastAsia="黑体"/>
      <w:sz w:val="20"/>
    </w:rPr>
  </w:style>
  <w:style w:type="paragraph" w:customStyle="1" w:styleId="173">
    <w:name w:val="正文 + 三号"/>
    <w:basedOn w:val="1"/>
    <w:qFormat/>
    <w:uiPriority w:val="0"/>
    <w:rPr>
      <w:rFonts w:eastAsia="宋体"/>
      <w:kern w:val="2"/>
      <w:sz w:val="21"/>
      <w:lang w:val="en-US" w:eastAsia="zh-CN"/>
    </w:rPr>
  </w:style>
  <w:style w:type="paragraph" w:customStyle="1" w:styleId="174">
    <w:name w:val="IN Feature"/>
    <w:next w:val="167"/>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75">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6">
    <w:name w:val="00"/>
    <w:basedOn w:val="1"/>
    <w:qFormat/>
    <w:uiPriority w:val="0"/>
    <w:pPr>
      <w:autoSpaceDE w:val="0"/>
      <w:autoSpaceDN w:val="0"/>
      <w:adjustRightInd w:val="0"/>
      <w:jc w:val="left"/>
    </w:pPr>
    <w:rPr>
      <w:rFonts w:ascii="黑体" w:eastAsia="黑体"/>
      <w:b/>
      <w:kern w:val="0"/>
      <w:sz w:val="20"/>
    </w:rPr>
  </w:style>
  <w:style w:type="paragraph" w:customStyle="1" w:styleId="177">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78">
    <w:name w:val="Char"/>
    <w:basedOn w:val="1"/>
    <w:qFormat/>
    <w:uiPriority w:val="0"/>
    <w:pPr>
      <w:widowControl/>
      <w:spacing w:line="400" w:lineRule="exact"/>
      <w:jc w:val="center"/>
    </w:pPr>
    <w:rPr>
      <w:sz w:val="24"/>
    </w:rPr>
  </w:style>
  <w:style w:type="paragraph" w:customStyle="1" w:styleId="179">
    <w:name w:val="标书正文:  0.74 厘米"/>
    <w:basedOn w:val="1"/>
    <w:qFormat/>
    <w:uiPriority w:val="0"/>
    <w:pPr>
      <w:snapToGrid w:val="0"/>
      <w:spacing w:line="360" w:lineRule="auto"/>
      <w:ind w:firstLine="420"/>
    </w:pPr>
    <w:rPr>
      <w:rFonts w:eastAsia="宋体"/>
      <w:kern w:val="2"/>
      <w:sz w:val="24"/>
      <w:lang w:val="en-US" w:eastAsia="zh-CN"/>
    </w:rPr>
  </w:style>
  <w:style w:type="paragraph" w:customStyle="1" w:styleId="180">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81">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82">
    <w:name w:val=" Char Char Char Char Char Char Char Char Char Char Char Char Char"/>
    <w:basedOn w:val="1"/>
    <w:qFormat/>
    <w:uiPriority w:val="0"/>
    <w:pPr>
      <w:widowControl/>
      <w:spacing w:after="160" w:afterLines="0" w:afterAutospacing="0" w:line="240" w:lineRule="exact"/>
      <w:jc w:val="left"/>
    </w:pPr>
    <w:rPr>
      <w:rFonts w:ascii="Verdana" w:hAnsi="Verdana" w:eastAsia="仿宋_GB2312"/>
      <w:kern w:val="0"/>
      <w:sz w:val="24"/>
      <w:lang w:eastAsia="en-US"/>
    </w:rPr>
  </w:style>
  <w:style w:type="paragraph" w:customStyle="1" w:styleId="183">
    <w:name w:val="_Style 182"/>
    <w:qFormat/>
    <w:uiPriority w:val="0"/>
    <w:rPr>
      <w:rFonts w:ascii="Times New Roman" w:hAnsi="Times New Roman" w:eastAsia="宋体" w:cs="Times New Roman"/>
      <w:kern w:val="2"/>
      <w:sz w:val="21"/>
      <w:lang w:val="en-US" w:eastAsia="zh-CN" w:bidi="ar-SA"/>
    </w:rPr>
  </w:style>
  <w:style w:type="paragraph" w:customStyle="1" w:styleId="184">
    <w:name w:val="首行缩进 1"/>
    <w:basedOn w:val="1"/>
    <w:qFormat/>
    <w:uiPriority w:val="0"/>
    <w:pPr>
      <w:spacing w:after="120" w:afterLines="0" w:afterAutospacing="0" w:line="360" w:lineRule="auto"/>
      <w:ind w:firstLine="200" w:firstLineChars="200"/>
    </w:pPr>
    <w:rPr>
      <w:sz w:val="24"/>
    </w:rPr>
  </w:style>
  <w:style w:type="paragraph" w:customStyle="1" w:styleId="185">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6">
    <w:name w:val="样式 标题 1章标题Heading 0Section HeadPIM 1H1h11st levell11H1..."/>
    <w:basedOn w:val="3"/>
    <w:qFormat/>
    <w:uiPriority w:val="0"/>
    <w:pPr>
      <w:keepLines/>
      <w:pageBreakBefore/>
      <w:tabs>
        <w:tab w:val="left" w:pos="432"/>
        <w:tab w:val="clear" w:pos="3360"/>
      </w:tabs>
      <w:autoSpaceDE w:val="0"/>
      <w:autoSpaceDN w:val="0"/>
      <w:adjustRightInd w:val="0"/>
      <w:spacing w:before="340" w:beforeLines="0" w:beforeAutospacing="0" w:after="330" w:afterLines="0" w:afterAutospacing="0" w:line="578" w:lineRule="atLeast"/>
      <w:jc w:val="both"/>
      <w:textAlignment w:val="bottom"/>
    </w:pPr>
    <w:rPr>
      <w:rFonts w:ascii="宋体" w:hAnsi="宋体"/>
      <w:b/>
      <w:kern w:val="44"/>
      <w:sz w:val="36"/>
    </w:rPr>
  </w:style>
  <w:style w:type="paragraph" w:customStyle="1" w:styleId="18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88">
    <w:name w:val="样式 行距: 1.5 倍行距1"/>
    <w:basedOn w:val="1"/>
    <w:qFormat/>
    <w:uiPriority w:val="0"/>
    <w:pPr>
      <w:snapToGrid w:val="0"/>
    </w:pPr>
    <w:rPr>
      <w:sz w:val="21"/>
    </w:rPr>
  </w:style>
  <w:style w:type="paragraph" w:customStyle="1" w:styleId="189">
    <w:name w:val="段落正文"/>
    <w:basedOn w:val="1"/>
    <w:qFormat/>
    <w:uiPriority w:val="0"/>
    <w:pPr>
      <w:spacing w:before="156" w:beforeLines="50" w:beforeAutospacing="0" w:line="360" w:lineRule="auto"/>
      <w:ind w:firstLine="200" w:firstLineChars="200"/>
    </w:pPr>
    <w:rPr>
      <w:spacing w:val="2"/>
      <w:sz w:val="24"/>
    </w:rPr>
  </w:style>
  <w:style w:type="paragraph" w:customStyle="1" w:styleId="190">
    <w:name w:val="_"/>
    <w:basedOn w:val="1"/>
    <w:qFormat/>
    <w:uiPriority w:val="0"/>
    <w:pPr>
      <w:adjustRightInd w:val="0"/>
      <w:spacing w:line="360" w:lineRule="auto"/>
      <w:ind w:left="480" w:firstLine="200" w:firstLineChars="200"/>
      <w:textAlignment w:val="baseline"/>
    </w:pPr>
    <w:rPr>
      <w:kern w:val="0"/>
      <w:sz w:val="24"/>
    </w:rPr>
  </w:style>
  <w:style w:type="paragraph" w:customStyle="1" w:styleId="191">
    <w:name w:val="二级列表"/>
    <w:basedOn w:val="189"/>
    <w:next w:val="189"/>
    <w:qFormat/>
    <w:uiPriority w:val="0"/>
    <w:pPr>
      <w:tabs>
        <w:tab w:val="left" w:pos="2120"/>
      </w:tabs>
      <w:ind w:firstLine="0" w:firstLineChars="0"/>
    </w:pPr>
    <w:rPr>
      <w:b/>
    </w:rPr>
  </w:style>
  <w:style w:type="paragraph" w:customStyle="1" w:styleId="192">
    <w:name w:val="附录3"/>
    <w:basedOn w:val="1"/>
    <w:next w:val="1"/>
    <w:qFormat/>
    <w:uiPriority w:val="0"/>
    <w:pPr>
      <w:numPr>
        <w:ilvl w:val="2"/>
        <w:numId w:val="0"/>
      </w:numPr>
      <w:tabs>
        <w:tab w:val="left" w:pos="851"/>
      </w:tabs>
      <w:ind w:left="425" w:hanging="425"/>
      <w:outlineLvl w:val="2"/>
    </w:pPr>
    <w:rPr>
      <w:rFonts w:eastAsia="黑体"/>
      <w:b/>
      <w:sz w:val="32"/>
    </w:rPr>
  </w:style>
  <w:style w:type="paragraph" w:customStyle="1" w:styleId="193">
    <w:name w:val="文本1"/>
    <w:basedOn w:val="1"/>
    <w:qFormat/>
    <w:uiPriority w:val="0"/>
    <w:pPr>
      <w:adjustRightInd w:val="0"/>
      <w:spacing w:line="312" w:lineRule="atLeast"/>
      <w:jc w:val="center"/>
      <w:textAlignment w:val="baseline"/>
    </w:pPr>
    <w:rPr>
      <w:kern w:val="0"/>
      <w:sz w:val="18"/>
    </w:rPr>
  </w:style>
  <w:style w:type="paragraph" w:customStyle="1" w:styleId="194">
    <w:name w:val=" Char Char1 Char Char Char Char Char Char Char Char Char Char Char Char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95">
    <w:name w:val="表格文本"/>
    <w:qFormat/>
    <w:uiPriority w:val="0"/>
    <w:pPr>
      <w:tabs>
        <w:tab w:val="decimal" w:pos="0"/>
      </w:tabs>
    </w:pPr>
    <w:rPr>
      <w:rFonts w:ascii="Arial" w:hAnsi="Arial" w:eastAsia="宋体" w:cs="Times New Roman"/>
      <w:sz w:val="21"/>
      <w:lang w:val="en-US" w:eastAsia="zh-CN" w:bidi="ar-SA"/>
    </w:rPr>
  </w:style>
  <w:style w:type="paragraph" w:customStyle="1" w:styleId="196">
    <w:name w:val="content"/>
    <w:basedOn w:val="1"/>
    <w:qFormat/>
    <w:uiPriority w:val="0"/>
    <w:pPr>
      <w:widowControl/>
      <w:spacing w:before="100" w:beforeLines="0" w:beforeAutospacing="1" w:after="100" w:afterLines="0" w:afterAutospacing="1" w:line="280" w:lineRule="atLeast"/>
      <w:ind w:firstLine="375"/>
      <w:jc w:val="left"/>
    </w:pPr>
    <w:rPr>
      <w:rFonts w:ascii="宋体" w:hAnsi="宋体"/>
      <w:color w:val="000000"/>
      <w:kern w:val="0"/>
      <w:sz w:val="18"/>
    </w:rPr>
  </w:style>
  <w:style w:type="paragraph" w:customStyle="1" w:styleId="197">
    <w:name w:val="Body Text 2"/>
    <w:basedOn w:val="1"/>
    <w:qFormat/>
    <w:uiPriority w:val="0"/>
    <w:pPr>
      <w:adjustRightInd w:val="0"/>
      <w:spacing w:before="120" w:beforeLines="0" w:beforeAutospacing="0" w:line="360" w:lineRule="auto"/>
      <w:ind w:firstLine="480"/>
      <w:textAlignment w:val="baseline"/>
    </w:pPr>
    <w:rPr>
      <w:sz w:val="24"/>
    </w:rPr>
  </w:style>
  <w:style w:type="paragraph" w:customStyle="1" w:styleId="198">
    <w:name w:val="附录4"/>
    <w:basedOn w:val="1"/>
    <w:next w:val="1"/>
    <w:qFormat/>
    <w:uiPriority w:val="0"/>
    <w:pPr>
      <w:widowControl/>
      <w:numPr>
        <w:ilvl w:val="3"/>
        <w:numId w:val="0"/>
      </w:numPr>
      <w:tabs>
        <w:tab w:val="left" w:pos="1134"/>
      </w:tabs>
      <w:spacing w:line="300" w:lineRule="auto"/>
      <w:ind w:left="1361" w:hanging="1361"/>
      <w:outlineLvl w:val="3"/>
    </w:pPr>
    <w:rPr>
      <w:rFonts w:ascii="Arial" w:hAnsi="Arial" w:eastAsia="黑体"/>
      <w:kern w:val="0"/>
    </w:rPr>
  </w:style>
  <w:style w:type="paragraph" w:customStyle="1" w:styleId="199">
    <w:name w:val="样式 首行缩进:  0.74 厘米"/>
    <w:basedOn w:val="1"/>
    <w:qFormat/>
    <w:uiPriority w:val="0"/>
    <w:pPr>
      <w:spacing w:line="360" w:lineRule="auto"/>
      <w:ind w:firstLine="420"/>
    </w:pPr>
    <w:rPr>
      <w:sz w:val="24"/>
    </w:rPr>
  </w:style>
  <w:style w:type="paragraph" w:customStyle="1" w:styleId="200">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01">
    <w:name w:val="样式 样式 首行缩进:  2 字符 + 首行缩进:  2 字符"/>
    <w:basedOn w:val="1"/>
    <w:qFormat/>
    <w:uiPriority w:val="0"/>
    <w:pPr>
      <w:numPr>
        <w:ilvl w:val="0"/>
        <w:numId w:val="14"/>
      </w:numPr>
      <w:tabs>
        <w:tab w:val="clear" w:pos="1230"/>
      </w:tabs>
      <w:spacing w:line="360" w:lineRule="auto"/>
      <w:ind w:firstLine="480" w:firstLineChars="200"/>
    </w:pPr>
    <w:rPr>
      <w:sz w:val="24"/>
    </w:rPr>
  </w:style>
  <w:style w:type="paragraph" w:customStyle="1" w:styleId="202">
    <w:name w:val="列表项目"/>
    <w:basedOn w:val="1"/>
    <w:uiPriority w:val="0"/>
    <w:pPr>
      <w:numPr>
        <w:ilvl w:val="0"/>
        <w:numId w:val="15"/>
      </w:numPr>
      <w:tabs>
        <w:tab w:val="left" w:pos="420"/>
        <w:tab w:val="clear" w:pos="980"/>
      </w:tabs>
      <w:spacing w:line="288" w:lineRule="auto"/>
      <w:ind w:left="840" w:leftChars="200" w:hanging="420" w:hangingChars="200"/>
    </w:pPr>
    <w:rPr>
      <w:sz w:val="21"/>
    </w:rPr>
  </w:style>
  <w:style w:type="paragraph" w:customStyle="1" w:styleId="203">
    <w:name w:val="编号正文"/>
    <w:basedOn w:val="187"/>
    <w:uiPriority w:val="0"/>
    <w:pPr>
      <w:snapToGrid/>
      <w:spacing w:line="360" w:lineRule="auto"/>
      <w:ind w:left="1407" w:hanging="1047"/>
      <w:jc w:val="left"/>
    </w:pPr>
    <w:rPr>
      <w:rFonts w:eastAsia="仿宋_GB2312"/>
    </w:rPr>
  </w:style>
  <w:style w:type="paragraph" w:customStyle="1" w:styleId="204">
    <w:name w:val="图片文字"/>
    <w:basedOn w:val="1"/>
    <w:uiPriority w:val="0"/>
    <w:pPr>
      <w:spacing w:line="240" w:lineRule="atLeast"/>
      <w:jc w:val="center"/>
    </w:pPr>
    <w:rPr>
      <w:sz w:val="21"/>
    </w:rPr>
  </w:style>
  <w:style w:type="paragraph" w:customStyle="1" w:styleId="205">
    <w:name w:val=" Char1"/>
    <w:basedOn w:val="1"/>
    <w:uiPriority w:val="0"/>
    <w:rPr>
      <w:sz w:val="21"/>
    </w:rPr>
  </w:style>
  <w:style w:type="paragraph" w:customStyle="1" w:styleId="206">
    <w:name w:val="文本框样式1"/>
    <w:basedOn w:val="1"/>
    <w:uiPriority w:val="0"/>
    <w:pPr>
      <w:adjustRightInd w:val="0"/>
      <w:snapToGrid w:val="0"/>
      <w:spacing w:before="60" w:beforeLines="0" w:beforeAutospacing="0" w:line="180" w:lineRule="exact"/>
      <w:jc w:val="center"/>
    </w:pPr>
    <w:rPr>
      <w:sz w:val="21"/>
    </w:rPr>
  </w:style>
  <w:style w:type="paragraph" w:customStyle="1" w:styleId="207">
    <w:name w:val="样式 标题 1 + 居中 段前: 6 磅 段后: 6 磅 行距: 1.5 倍行距"/>
    <w:basedOn w:val="3"/>
    <w:uiPriority w:val="0"/>
    <w:pPr>
      <w:keepLines/>
      <w:tabs>
        <w:tab w:val="clear" w:pos="3360"/>
      </w:tabs>
      <w:adjustRightInd w:val="0"/>
      <w:spacing w:before="120" w:beforeLines="0" w:beforeAutospacing="0" w:line="360" w:lineRule="auto"/>
    </w:pPr>
    <w:rPr>
      <w:rFonts w:eastAsia="宋体"/>
      <w:b/>
      <w:kern w:val="44"/>
      <w:sz w:val="32"/>
    </w:rPr>
  </w:style>
  <w:style w:type="paragraph" w:customStyle="1" w:styleId="208">
    <w:name w:val="Style Heading 3h3Heading 3 - oldLevel 3 HeadH3level_3PIM 3se..."/>
    <w:basedOn w:val="5"/>
    <w:uiPriority w:val="0"/>
    <w:pPr>
      <w:numPr>
        <w:ilvl w:val="2"/>
        <w:numId w:val="13"/>
      </w:numPr>
      <w:jc w:val="both"/>
    </w:pPr>
    <w:rPr>
      <w:sz w:val="32"/>
    </w:rPr>
  </w:style>
  <w:style w:type="paragraph" w:customStyle="1" w:styleId="209">
    <w:name w:val="正文4"/>
    <w:basedOn w:val="1"/>
    <w:uiPriority w:val="0"/>
    <w:pPr>
      <w:tabs>
        <w:tab w:val="left" w:pos="1275"/>
      </w:tabs>
      <w:spacing w:before="60" w:beforeLines="0" w:beforeAutospacing="0" w:after="60" w:afterLines="0" w:afterAutospacing="0" w:line="360" w:lineRule="auto"/>
      <w:ind w:left="820" w:leftChars="400" w:hanging="705"/>
    </w:pPr>
    <w:rPr>
      <w:sz w:val="24"/>
    </w:rPr>
  </w:style>
  <w:style w:type="paragraph" w:customStyle="1" w:styleId="210">
    <w:name w:val="样式 正文缩进正文（首行缩进两字）表正文正文非缩进特点标题4段1 + 首行缩进:  2 字符"/>
    <w:basedOn w:val="16"/>
    <w:uiPriority w:val="0"/>
    <w:pPr>
      <w:ind w:firstLine="480" w:firstLineChars="200"/>
    </w:pPr>
  </w:style>
  <w:style w:type="paragraph" w:customStyle="1" w:styleId="211">
    <w:name w:val="正文1"/>
    <w:basedOn w:val="1"/>
    <w:uiPriority w:val="0"/>
    <w:pPr>
      <w:spacing w:line="300" w:lineRule="auto"/>
      <w:ind w:firstLine="200" w:firstLineChars="200"/>
    </w:pPr>
    <w:rPr>
      <w:sz w:val="24"/>
    </w:rPr>
  </w:style>
  <w:style w:type="paragraph" w:customStyle="1" w:styleId="212">
    <w:name w:val="1.正文"/>
    <w:basedOn w:val="1"/>
    <w:uiPriority w:val="0"/>
    <w:pPr>
      <w:spacing w:line="360" w:lineRule="auto"/>
      <w:ind w:left="540" w:leftChars="225" w:firstLine="540" w:firstLineChars="225"/>
    </w:pPr>
    <w:rPr>
      <w:sz w:val="24"/>
    </w:rPr>
  </w:style>
  <w:style w:type="paragraph" w:customStyle="1" w:styleId="213">
    <w:name w:val="内容标题"/>
    <w:basedOn w:val="18"/>
    <w:uiPriority w:val="0"/>
    <w:rPr>
      <w:rFonts w:ascii="Tahoma" w:hAnsi="Tahoma"/>
      <w:sz w:val="24"/>
    </w:rPr>
  </w:style>
  <w:style w:type="paragraph" w:customStyle="1" w:styleId="214">
    <w:name w:val="xl40"/>
    <w:basedOn w:val="1"/>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215">
    <w:name w:val="p"/>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6">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217">
    <w:name w:val="List Paragraph"/>
    <w:basedOn w:val="1"/>
    <w:qFormat/>
    <w:uiPriority w:val="0"/>
    <w:pPr>
      <w:ind w:firstLine="420" w:firstLineChars="200"/>
    </w:pPr>
    <w:rPr>
      <w:rFonts w:ascii="Times New Roman" w:hAnsi="Times New Roman" w:eastAsia="宋体" w:cs="Times New Roman"/>
      <w:szCs w:val="22"/>
    </w:rPr>
  </w:style>
  <w:style w:type="paragraph" w:customStyle="1" w:styleId="218">
    <w:name w:val="目录 83"/>
    <w:next w:val="1"/>
    <w:qFormat/>
    <w:uiPriority w:val="0"/>
    <w:pPr>
      <w:wordWrap w:val="0"/>
      <w:ind w:left="2550"/>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2882</Words>
  <Characters>16432</Characters>
  <Lines>136</Lines>
  <Paragraphs>38</Paragraphs>
  <TotalTime>1</TotalTime>
  <ScaleCrop>false</ScaleCrop>
  <LinksUpToDate>false</LinksUpToDate>
  <CharactersWithSpaces>19276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2021-04-15T08:51:00Z</dcterms:created>
  <dc:creator>admin</dc:creator>
  <cp:lastModifiedBy>时空连续</cp:lastModifiedBy>
  <cp:lastPrinted>2018-08-17T07:28:00Z</cp:lastPrinted>
  <dcterms:modified xsi:type="dcterms:W3CDTF">2021-10-12T09:54:15Z</dcterms:modified>
  <dc:title>货物</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AC6AC05206F3430D9B4FE0674DC9F210</vt:lpwstr>
  </property>
</Properties>
</file>